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62AD" w14:textId="77777777" w:rsidR="001D4B3E" w:rsidRDefault="00736FC6" w:rsidP="00A0203E">
      <w:pPr>
        <w:jc w:val="center"/>
        <w:outlineLvl w:val="0"/>
        <w:rPr>
          <w:b/>
          <w:bCs/>
        </w:rPr>
      </w:pPr>
      <w:bookmarkStart w:id="0" w:name="_Toc184384664"/>
      <w:bookmarkStart w:id="1" w:name="_Toc184385308"/>
      <w:bookmarkStart w:id="2" w:name="_Toc186705004"/>
      <w:bookmarkStart w:id="3" w:name="_Toc187324928"/>
      <w:r w:rsidRPr="00C5156F">
        <w:rPr>
          <w:b/>
          <w:bCs/>
        </w:rPr>
        <w:t>PATEIKTŲ PASIŪLYMŲ</w:t>
      </w:r>
      <w:r>
        <w:rPr>
          <w:b/>
          <w:bCs/>
        </w:rPr>
        <w:t xml:space="preserve"> KULTŪROS MINISTERIJAI </w:t>
      </w:r>
      <w:r w:rsidRPr="00C5156F">
        <w:rPr>
          <w:b/>
          <w:bCs/>
        </w:rPr>
        <w:t>ĮGYVENDINIMA</w:t>
      </w:r>
      <w:r>
        <w:rPr>
          <w:b/>
          <w:bCs/>
        </w:rPr>
        <w:t>S</w:t>
      </w:r>
    </w:p>
    <w:p w14:paraId="55F265C1" w14:textId="5F77EFF0" w:rsidR="00A0203E" w:rsidRPr="00A0203E" w:rsidRDefault="001D4B3E" w:rsidP="00C97FD2">
      <w:pPr>
        <w:jc w:val="center"/>
        <w:outlineLvl w:val="0"/>
        <w:rPr>
          <w:b/>
          <w:bCs/>
        </w:rPr>
      </w:pPr>
      <w:r>
        <w:rPr>
          <w:b/>
          <w:bCs/>
        </w:rPr>
        <w:t>(</w:t>
      </w:r>
      <w:r w:rsidR="00A0203E" w:rsidRPr="00A0203E">
        <w:rPr>
          <w:b/>
          <w:bCs/>
        </w:rPr>
        <w:t>LIETUVOS RESPUBLIKOS SPECIALIŲJŲ TYRIMŲ TARNYBOS</w:t>
      </w:r>
      <w:bookmarkStart w:id="4" w:name="_Toc184384665"/>
      <w:bookmarkStart w:id="5" w:name="_Toc184385309"/>
      <w:bookmarkStart w:id="6" w:name="_Toc186705005"/>
      <w:bookmarkStart w:id="7" w:name="_Toc187324929"/>
      <w:bookmarkEnd w:id="0"/>
      <w:bookmarkEnd w:id="1"/>
      <w:bookmarkEnd w:id="2"/>
      <w:bookmarkEnd w:id="3"/>
      <w:r w:rsidR="00D51020">
        <w:rPr>
          <w:b/>
          <w:bCs/>
        </w:rPr>
        <w:t xml:space="preserve"> </w:t>
      </w:r>
      <w:r w:rsidR="00A0203E" w:rsidRPr="00A0203E">
        <w:rPr>
          <w:b/>
          <w:bCs/>
        </w:rPr>
        <w:t xml:space="preserve">KORUPCIJOS RIZIKOS ANALIZĖS </w:t>
      </w:r>
      <w:bookmarkStart w:id="8" w:name="_Hlk112245580"/>
      <w:bookmarkEnd w:id="4"/>
      <w:bookmarkEnd w:id="5"/>
      <w:bookmarkEnd w:id="6"/>
      <w:bookmarkEnd w:id="7"/>
      <w:r w:rsidR="00A0203E" w:rsidRPr="00A0203E">
        <w:rPr>
          <w:b/>
          <w:bCs/>
        </w:rPr>
        <w:t>IŠVAD</w:t>
      </w:r>
      <w:r w:rsidR="003029DC">
        <w:rPr>
          <w:b/>
          <w:bCs/>
        </w:rPr>
        <w:t>OJE</w:t>
      </w:r>
    </w:p>
    <w:bookmarkEnd w:id="8"/>
    <w:p w14:paraId="711CD6AD" w14:textId="08133382" w:rsidR="00694944" w:rsidRPr="00C5156F" w:rsidRDefault="00A0203E" w:rsidP="00694944">
      <w:pPr>
        <w:jc w:val="center"/>
        <w:outlineLvl w:val="0"/>
        <w:rPr>
          <w:b/>
          <w:bCs/>
        </w:rPr>
      </w:pPr>
      <w:r w:rsidRPr="00A0203E">
        <w:rPr>
          <w:b/>
          <w:bCs/>
        </w:rPr>
        <w:t>VŠĮ MEDIJŲ RĖMIMO FONDO EKSPERTŲ ATRANKOS IR FONDO TARYBOS SUDARYMO, FINANSAVIMO SKYRIMO BEI KONTROLĖS PROCESUOSE</w:t>
      </w:r>
      <w:r w:rsidR="00514B5F">
        <w:rPr>
          <w:b/>
          <w:bCs/>
        </w:rPr>
        <w:t>)</w:t>
      </w:r>
    </w:p>
    <w:p w14:paraId="692CC0F2" w14:textId="77777777" w:rsidR="0034418E" w:rsidRDefault="0034418E" w:rsidP="0034418E"/>
    <w:tbl>
      <w:tblPr>
        <w:tblStyle w:val="TableGrid"/>
        <w:tblW w:w="15163" w:type="dxa"/>
        <w:tblLook w:val="04A0" w:firstRow="1" w:lastRow="0" w:firstColumn="1" w:lastColumn="0" w:noHBand="0" w:noVBand="1"/>
      </w:tblPr>
      <w:tblGrid>
        <w:gridCol w:w="3539"/>
        <w:gridCol w:w="4111"/>
        <w:gridCol w:w="5386"/>
        <w:gridCol w:w="2127"/>
      </w:tblGrid>
      <w:tr w:rsidR="0037500E" w:rsidRPr="002B3452" w14:paraId="2B949321" w14:textId="77777777" w:rsidTr="00DB4D56">
        <w:tc>
          <w:tcPr>
            <w:tcW w:w="3539" w:type="dxa"/>
            <w:vAlign w:val="center"/>
          </w:tcPr>
          <w:p w14:paraId="2237D327" w14:textId="77777777" w:rsidR="0037500E" w:rsidRPr="005831A8" w:rsidRDefault="0037500E" w:rsidP="005831A8">
            <w:pPr>
              <w:widowControl w:val="0"/>
              <w:spacing w:before="60" w:after="60"/>
              <w:jc w:val="center"/>
              <w:rPr>
                <w:b/>
                <w:bCs/>
                <w:iCs/>
                <w:snapToGrid w:val="0"/>
              </w:rPr>
            </w:pPr>
            <w:r w:rsidRPr="005831A8">
              <w:rPr>
                <w:b/>
                <w:bCs/>
                <w:iCs/>
                <w:snapToGrid w:val="0"/>
              </w:rPr>
              <w:t>Pateiktos pastabos</w:t>
            </w:r>
          </w:p>
        </w:tc>
        <w:tc>
          <w:tcPr>
            <w:tcW w:w="4111" w:type="dxa"/>
            <w:vAlign w:val="center"/>
          </w:tcPr>
          <w:p w14:paraId="52AC4B25" w14:textId="77777777" w:rsidR="0037500E" w:rsidRPr="005831A8" w:rsidRDefault="0037500E" w:rsidP="005831A8">
            <w:pPr>
              <w:widowControl w:val="0"/>
              <w:spacing w:before="60" w:after="60"/>
              <w:jc w:val="center"/>
              <w:rPr>
                <w:b/>
                <w:bCs/>
                <w:iCs/>
                <w:snapToGrid w:val="0"/>
              </w:rPr>
            </w:pPr>
            <w:r w:rsidRPr="005831A8">
              <w:rPr>
                <w:b/>
                <w:bCs/>
                <w:iCs/>
                <w:snapToGrid w:val="0"/>
              </w:rPr>
              <w:t>Pasiūlymai atsižvelgiant į pateiktas pastabas</w:t>
            </w:r>
          </w:p>
        </w:tc>
        <w:tc>
          <w:tcPr>
            <w:tcW w:w="5386" w:type="dxa"/>
            <w:vAlign w:val="center"/>
          </w:tcPr>
          <w:p w14:paraId="36CBAB53" w14:textId="77777777" w:rsidR="0037500E" w:rsidRPr="005831A8" w:rsidRDefault="0037500E" w:rsidP="005831A8">
            <w:pPr>
              <w:widowControl w:val="0"/>
              <w:spacing w:before="60" w:after="60"/>
              <w:jc w:val="center"/>
              <w:rPr>
                <w:b/>
                <w:bCs/>
                <w:iCs/>
                <w:snapToGrid w:val="0"/>
              </w:rPr>
            </w:pPr>
            <w:r w:rsidRPr="005831A8">
              <w:rPr>
                <w:b/>
                <w:bCs/>
                <w:iCs/>
                <w:snapToGrid w:val="0"/>
              </w:rPr>
              <w:t>Duomenys apie pastabų ir pasiūlymų įgyvendinimą</w:t>
            </w:r>
          </w:p>
        </w:tc>
        <w:tc>
          <w:tcPr>
            <w:tcW w:w="2127" w:type="dxa"/>
            <w:vAlign w:val="center"/>
          </w:tcPr>
          <w:p w14:paraId="3E7863AC" w14:textId="77777777" w:rsidR="0037500E" w:rsidRPr="005831A8" w:rsidRDefault="0037500E" w:rsidP="005831A8">
            <w:pPr>
              <w:widowControl w:val="0"/>
              <w:spacing w:before="60" w:after="60"/>
              <w:jc w:val="center"/>
              <w:rPr>
                <w:b/>
                <w:bCs/>
                <w:iCs/>
                <w:snapToGrid w:val="0"/>
              </w:rPr>
            </w:pPr>
            <w:r w:rsidRPr="005831A8">
              <w:rPr>
                <w:b/>
                <w:bCs/>
                <w:iCs/>
                <w:snapToGrid w:val="0"/>
              </w:rPr>
              <w:t>Specialiųjų tyrimų tarnybos vertinimas</w:t>
            </w:r>
          </w:p>
        </w:tc>
      </w:tr>
      <w:tr w:rsidR="0037500E" w:rsidRPr="002B3452" w14:paraId="27BD7A2B" w14:textId="77777777" w:rsidTr="005831A8">
        <w:tc>
          <w:tcPr>
            <w:tcW w:w="15163" w:type="dxa"/>
            <w:gridSpan w:val="4"/>
          </w:tcPr>
          <w:p w14:paraId="7DDD2410" w14:textId="77777777" w:rsidR="0037500E" w:rsidRPr="008F1D8D" w:rsidRDefault="0037500E" w:rsidP="005831A8">
            <w:pPr>
              <w:pStyle w:val="ListParagraph"/>
              <w:widowControl w:val="0"/>
              <w:numPr>
                <w:ilvl w:val="0"/>
                <w:numId w:val="1"/>
              </w:numPr>
              <w:spacing w:before="60" w:after="60"/>
              <w:jc w:val="center"/>
              <w:rPr>
                <w:i/>
                <w:snapToGrid w:val="0"/>
              </w:rPr>
            </w:pPr>
            <w:r w:rsidRPr="008F1D8D">
              <w:rPr>
                <w:i/>
                <w:snapToGrid w:val="0"/>
              </w:rPr>
              <w:t>Kritinės antikorupcinės pastabos</w:t>
            </w:r>
          </w:p>
        </w:tc>
      </w:tr>
      <w:tr w:rsidR="00E9418B" w:rsidRPr="002B3452" w14:paraId="578637E3" w14:textId="77777777" w:rsidTr="00DB4D56">
        <w:tc>
          <w:tcPr>
            <w:tcW w:w="3539" w:type="dxa"/>
            <w:vMerge w:val="restart"/>
          </w:tcPr>
          <w:p w14:paraId="2B047CF1" w14:textId="50E01457" w:rsidR="00E9418B" w:rsidRPr="002B3452" w:rsidRDefault="00E9418B" w:rsidP="005831A8">
            <w:pPr>
              <w:widowControl w:val="0"/>
              <w:spacing w:before="60" w:after="60"/>
              <w:rPr>
                <w:snapToGrid w:val="0"/>
              </w:rPr>
            </w:pPr>
            <w:r>
              <w:t xml:space="preserve">1. Fondo struktūra ir jo organų veiklos teisinis reguliavimas sudaro sąlygas ir galimybes sistemingai pažeisti nepriklausomumo, nešališkumo ir viešojo intereso prioriteto principus. Esamas teisinis reguliavimas leidžia viešosios informacijos rengėjų ir skleidėjų interesų grupėms – kurios pačios gauna finansavimą – tiesiogiai ar per lobistus dominuoti Taryboje, dalyvauti lėšų skirstymo, taisyklių rengimo ir programų formavimo procesuose. Valstybės, kaip dalininko, įtaka sprendimų priėmimo mechanizme galimai per menka, net esant, pavyzdžiui, galimam šališkumui, nėra </w:t>
            </w:r>
            <w:r>
              <w:lastRenderedPageBreak/>
              <w:t>numatyto veiksmingo reagavimo mechanizmo. Tai kelia riziką, kad sprendimai gali būti priimami privataus intereso pagrindu, o viešosios lėšos skirstomos neskaidriai, ir kartu silpnina pasitikėjimą Fondo veikla (</w:t>
            </w:r>
            <w:r>
              <w:rPr>
                <w:i/>
                <w:iCs/>
              </w:rPr>
              <w:t>žr. 3.1 skirsnio argumentus</w:t>
            </w:r>
            <w:r>
              <w:t>).</w:t>
            </w:r>
          </w:p>
        </w:tc>
        <w:tc>
          <w:tcPr>
            <w:tcW w:w="4111" w:type="dxa"/>
          </w:tcPr>
          <w:p w14:paraId="663A01AA" w14:textId="0142F3AC" w:rsidR="00E9418B" w:rsidRPr="002B3452" w:rsidRDefault="00E9418B" w:rsidP="005831A8">
            <w:pPr>
              <w:widowControl w:val="0"/>
              <w:spacing w:before="60" w:after="60"/>
              <w:rPr>
                <w:snapToGrid w:val="0"/>
              </w:rPr>
            </w:pPr>
            <w:r w:rsidRPr="005831A8">
              <w:rPr>
                <w:snapToGrid w:val="0"/>
              </w:rPr>
              <w:lastRenderedPageBreak/>
              <w:t xml:space="preserve">1. </w:t>
            </w:r>
            <w:r>
              <w:rPr>
                <w:snapToGrid w:val="0"/>
              </w:rPr>
              <w:t>I</w:t>
            </w:r>
            <w:r w:rsidRPr="008323BC">
              <w:rPr>
                <w:snapToGrid w:val="0"/>
              </w:rPr>
              <w:t>mtis teisėkūros iniciatyvos</w:t>
            </w:r>
            <w:r>
              <w:rPr>
                <w:snapToGrid w:val="0"/>
              </w:rPr>
              <w:t xml:space="preserve"> </w:t>
            </w:r>
            <w:r w:rsidRPr="008323BC">
              <w:rPr>
                <w:snapToGrid w:val="0"/>
              </w:rPr>
              <w:t>tobulinant Fondo struktūrą tokiu būdu, kad būtų išvengta dalininkų atstovų ir Tarybos narių dubliavimosi, kelių asociacijų dominavimo Fondo organuose bei užkertant kelią finansavimo gavimu suinteresuotiems asmenims bei juos atstovaujantiems lobistams dalyvauti sprendimų dėl finansavimo skyrimo priėmimo procese (įskaitant buvimą dalininku, finansavimo taisyklių projektų rengimą, svarstymą ir finansuotinų programų kūrimą)</w:t>
            </w:r>
            <w:r>
              <w:rPr>
                <w:snapToGrid w:val="0"/>
              </w:rPr>
              <w:t>.</w:t>
            </w:r>
          </w:p>
        </w:tc>
        <w:tc>
          <w:tcPr>
            <w:tcW w:w="5386" w:type="dxa"/>
          </w:tcPr>
          <w:p w14:paraId="6F4E4D58" w14:textId="08DA3C5F" w:rsidR="00E9418B" w:rsidRDefault="00E9418B" w:rsidP="005831A8">
            <w:pPr>
              <w:widowControl w:val="0"/>
              <w:spacing w:before="60" w:after="60"/>
              <w:rPr>
                <w:snapToGrid w:val="0"/>
              </w:rPr>
            </w:pPr>
            <w:r>
              <w:rPr>
                <w:snapToGrid w:val="0"/>
              </w:rPr>
              <w:t>Kadangi Medijų rėmimo fondo tarybos sudėtis, skyrimo ir tvirtinimo tvarka, reikalavimai šio fondo tarybos nariams nustatyti Lietuvos Respublikos visuomenės informavimo įstatyme, Kultūros ministerija, planuoja siūlyti Lietuvos Respublikos Vyriausybei ir Lietuvos Respublikos Seimui tikslinti Visuomenės informavimo įstatymo nuostatas dėl:</w:t>
            </w:r>
          </w:p>
          <w:p w14:paraId="5A5EC7F9" w14:textId="32CDD0BF" w:rsidR="00E9418B" w:rsidRPr="002B3452" w:rsidRDefault="00E9418B" w:rsidP="00630D52">
            <w:pPr>
              <w:widowControl w:val="0"/>
              <w:spacing w:before="60" w:after="60"/>
              <w:rPr>
                <w:snapToGrid w:val="0"/>
              </w:rPr>
            </w:pPr>
            <w:r>
              <w:rPr>
                <w:snapToGrid w:val="0"/>
              </w:rPr>
              <w:t>(1 pasiūlymui) – Medijų rėmimo fondo tarybos nariams keliamų papildomų reikalavimų ir dėl apribojimo tam pačiam asmeniui atstovauti Medijų rėmimo fondo visuotiniame dalininkų susirinkime ir Medijų rėmimo fondo tarybos veikloje;</w:t>
            </w:r>
          </w:p>
        </w:tc>
        <w:tc>
          <w:tcPr>
            <w:tcW w:w="2127" w:type="dxa"/>
          </w:tcPr>
          <w:p w14:paraId="012A86E9" w14:textId="77777777" w:rsidR="00E9418B" w:rsidRPr="002B3452" w:rsidRDefault="00E9418B" w:rsidP="005831A8">
            <w:pPr>
              <w:widowControl w:val="0"/>
              <w:spacing w:before="60" w:after="60"/>
              <w:rPr>
                <w:snapToGrid w:val="0"/>
              </w:rPr>
            </w:pPr>
          </w:p>
        </w:tc>
      </w:tr>
      <w:tr w:rsidR="00E9418B" w:rsidRPr="002B3452" w14:paraId="3D6A8FFD" w14:textId="77777777" w:rsidTr="00DB4D56">
        <w:tc>
          <w:tcPr>
            <w:tcW w:w="3539" w:type="dxa"/>
            <w:vMerge/>
          </w:tcPr>
          <w:p w14:paraId="531AF5DA" w14:textId="77777777" w:rsidR="00E9418B" w:rsidRPr="002B3452" w:rsidRDefault="00E9418B" w:rsidP="005831A8">
            <w:pPr>
              <w:widowControl w:val="0"/>
              <w:spacing w:before="60" w:after="60"/>
              <w:rPr>
                <w:snapToGrid w:val="0"/>
              </w:rPr>
            </w:pPr>
          </w:p>
        </w:tc>
        <w:tc>
          <w:tcPr>
            <w:tcW w:w="4111" w:type="dxa"/>
          </w:tcPr>
          <w:p w14:paraId="4C569133" w14:textId="13F2267E" w:rsidR="00E9418B" w:rsidRPr="002B3452" w:rsidRDefault="00E9418B" w:rsidP="005831A8">
            <w:pPr>
              <w:widowControl w:val="0"/>
              <w:spacing w:before="60" w:after="60"/>
              <w:rPr>
                <w:snapToGrid w:val="0"/>
              </w:rPr>
            </w:pPr>
            <w:r w:rsidRPr="005831A8">
              <w:rPr>
                <w:snapToGrid w:val="0"/>
              </w:rPr>
              <w:t xml:space="preserve">2. </w:t>
            </w:r>
            <w:r>
              <w:rPr>
                <w:snapToGrid w:val="0"/>
              </w:rPr>
              <w:t>I</w:t>
            </w:r>
            <w:r w:rsidRPr="008323BC">
              <w:rPr>
                <w:snapToGrid w:val="0"/>
              </w:rPr>
              <w:t>mtis teisėkūros iniciatyvos</w:t>
            </w:r>
            <w:r>
              <w:rPr>
                <w:snapToGrid w:val="0"/>
              </w:rPr>
              <w:t xml:space="preserve"> </w:t>
            </w:r>
            <w:r w:rsidRPr="008323BC">
              <w:rPr>
                <w:snapToGrid w:val="0"/>
              </w:rPr>
              <w:t>užtikrinant, kad Taryboje būtų atstovaujami tautinių mažumų kalbomis informaciją rengiantys ir skleidžiantys VIRS</w:t>
            </w:r>
            <w:r>
              <w:rPr>
                <w:snapToGrid w:val="0"/>
              </w:rPr>
              <w:t>.</w:t>
            </w:r>
          </w:p>
        </w:tc>
        <w:tc>
          <w:tcPr>
            <w:tcW w:w="5386" w:type="dxa"/>
          </w:tcPr>
          <w:p w14:paraId="300D25AC" w14:textId="56A85547" w:rsidR="00E9418B" w:rsidRPr="002B3452" w:rsidRDefault="00E9418B" w:rsidP="00630D52">
            <w:pPr>
              <w:widowControl w:val="0"/>
              <w:spacing w:before="60" w:after="60"/>
              <w:rPr>
                <w:snapToGrid w:val="0"/>
              </w:rPr>
            </w:pPr>
            <w:r>
              <w:rPr>
                <w:snapToGrid w:val="0"/>
              </w:rPr>
              <w:t>(2 pasiūlymui) – Medijų rėmimo fondo tarybos sudėties praplėtimo, įtraukiant žiniasklaidos (viešosios informacijos rengėjų ir (ar) skleidėjų), rengiančios</w:t>
            </w:r>
            <w:r w:rsidR="008254FD">
              <w:rPr>
                <w:snapToGrid w:val="0"/>
              </w:rPr>
              <w:t xml:space="preserve"> ir skleidžiančios</w:t>
            </w:r>
            <w:r>
              <w:rPr>
                <w:snapToGrid w:val="0"/>
              </w:rPr>
              <w:t xml:space="preserve"> informaciją tautinių mažumų kalbomis, atstovą;</w:t>
            </w:r>
          </w:p>
        </w:tc>
        <w:tc>
          <w:tcPr>
            <w:tcW w:w="2127" w:type="dxa"/>
          </w:tcPr>
          <w:p w14:paraId="036B10A7" w14:textId="77777777" w:rsidR="00E9418B" w:rsidRPr="002B3452" w:rsidRDefault="00E9418B" w:rsidP="005831A8">
            <w:pPr>
              <w:widowControl w:val="0"/>
              <w:spacing w:before="60" w:after="60"/>
              <w:rPr>
                <w:snapToGrid w:val="0"/>
              </w:rPr>
            </w:pPr>
          </w:p>
        </w:tc>
      </w:tr>
      <w:tr w:rsidR="00E9418B" w:rsidRPr="002B3452" w14:paraId="4FBF67F6" w14:textId="77777777" w:rsidTr="00DB4D56">
        <w:trPr>
          <w:trHeight w:val="2604"/>
        </w:trPr>
        <w:tc>
          <w:tcPr>
            <w:tcW w:w="3539" w:type="dxa"/>
            <w:vMerge/>
          </w:tcPr>
          <w:p w14:paraId="3C22B507" w14:textId="77777777" w:rsidR="00E9418B" w:rsidRPr="002B3452" w:rsidRDefault="00E9418B" w:rsidP="005831A8">
            <w:pPr>
              <w:widowControl w:val="0"/>
              <w:spacing w:before="60" w:after="60"/>
              <w:rPr>
                <w:snapToGrid w:val="0"/>
              </w:rPr>
            </w:pPr>
          </w:p>
        </w:tc>
        <w:tc>
          <w:tcPr>
            <w:tcW w:w="4111" w:type="dxa"/>
          </w:tcPr>
          <w:p w14:paraId="1A879866" w14:textId="2A4B43BB" w:rsidR="00E9418B" w:rsidRPr="002B3452" w:rsidRDefault="00E9418B" w:rsidP="005831A8">
            <w:pPr>
              <w:widowControl w:val="0"/>
              <w:spacing w:before="60" w:after="60"/>
              <w:rPr>
                <w:snapToGrid w:val="0"/>
              </w:rPr>
            </w:pPr>
            <w:r w:rsidRPr="005831A8">
              <w:rPr>
                <w:snapToGrid w:val="0"/>
              </w:rPr>
              <w:t xml:space="preserve">3. </w:t>
            </w:r>
            <w:r>
              <w:rPr>
                <w:snapToGrid w:val="0"/>
              </w:rPr>
              <w:t>I</w:t>
            </w:r>
            <w:r w:rsidRPr="008323BC">
              <w:rPr>
                <w:snapToGrid w:val="0"/>
              </w:rPr>
              <w:t>mtis teisėkūros iniciatyvos</w:t>
            </w:r>
            <w:r>
              <w:rPr>
                <w:snapToGrid w:val="0"/>
              </w:rPr>
              <w:t xml:space="preserve"> </w:t>
            </w:r>
            <w:r w:rsidRPr="008323BC">
              <w:rPr>
                <w:snapToGrid w:val="0"/>
              </w:rPr>
              <w:t>praplečiant Fondo tarybos nario įgaliojimų pasibaigimo pagrindus, nustatant su Tarybos nariu sudarytos paslaugų teikimo sutarties ir (ar) Tarybos nario veiklos esminių principų pažeidimų atvejus kaip Tarybos narių įgaliojimų galimo pasibaigimo pagrindą.</w:t>
            </w:r>
          </w:p>
        </w:tc>
        <w:tc>
          <w:tcPr>
            <w:tcW w:w="5386" w:type="dxa"/>
          </w:tcPr>
          <w:p w14:paraId="5EEE4623" w14:textId="31006C40" w:rsidR="00E9418B" w:rsidRPr="00630D52" w:rsidRDefault="00E9418B" w:rsidP="00E9418B">
            <w:pPr>
              <w:widowControl w:val="0"/>
              <w:spacing w:before="60" w:after="60"/>
              <w:rPr>
                <w:b/>
                <w:bCs/>
                <w:snapToGrid w:val="0"/>
              </w:rPr>
            </w:pPr>
            <w:r>
              <w:rPr>
                <w:snapToGrid w:val="0"/>
              </w:rPr>
              <w:t>(3 pasiūlymui) – Medijų rėmimo fondo tarybos narių įgaliojimų pasibaigimo pagrindų.</w:t>
            </w:r>
          </w:p>
        </w:tc>
        <w:tc>
          <w:tcPr>
            <w:tcW w:w="2127" w:type="dxa"/>
          </w:tcPr>
          <w:p w14:paraId="760598AF" w14:textId="77777777" w:rsidR="00E9418B" w:rsidRPr="002B3452" w:rsidRDefault="00E9418B" w:rsidP="005831A8">
            <w:pPr>
              <w:widowControl w:val="0"/>
              <w:spacing w:before="60" w:after="60"/>
              <w:rPr>
                <w:snapToGrid w:val="0"/>
              </w:rPr>
            </w:pPr>
          </w:p>
        </w:tc>
      </w:tr>
      <w:tr w:rsidR="00E9418B" w:rsidRPr="002B3452" w14:paraId="5191847E" w14:textId="77777777" w:rsidTr="00DB4D56">
        <w:trPr>
          <w:trHeight w:val="864"/>
        </w:trPr>
        <w:tc>
          <w:tcPr>
            <w:tcW w:w="7650" w:type="dxa"/>
            <w:gridSpan w:val="2"/>
          </w:tcPr>
          <w:p w14:paraId="6DCA70EF" w14:textId="77777777" w:rsidR="00E9418B" w:rsidRPr="005831A8" w:rsidRDefault="00E9418B" w:rsidP="005831A8">
            <w:pPr>
              <w:widowControl w:val="0"/>
              <w:spacing w:before="60" w:after="60"/>
              <w:rPr>
                <w:snapToGrid w:val="0"/>
              </w:rPr>
            </w:pPr>
          </w:p>
        </w:tc>
        <w:tc>
          <w:tcPr>
            <w:tcW w:w="5386" w:type="dxa"/>
          </w:tcPr>
          <w:p w14:paraId="0A5B823B" w14:textId="6ACB81AD" w:rsidR="00E9418B" w:rsidRDefault="00E9418B" w:rsidP="00630D52">
            <w:pPr>
              <w:widowControl w:val="0"/>
              <w:spacing w:before="60" w:after="60"/>
              <w:rPr>
                <w:snapToGrid w:val="0"/>
              </w:rPr>
            </w:pPr>
            <w:r>
              <w:rPr>
                <w:snapToGrid w:val="0"/>
              </w:rPr>
              <w:t xml:space="preserve">Kultūros ministerija Visuomenės informavimo įstatymo projektą planuoja parengti ir pateikti Vyriausybei: </w:t>
            </w:r>
            <w:r w:rsidRPr="00630D52">
              <w:rPr>
                <w:b/>
                <w:bCs/>
                <w:snapToGrid w:val="0"/>
              </w:rPr>
              <w:t>202</w:t>
            </w:r>
            <w:r w:rsidR="00DB4D56">
              <w:rPr>
                <w:b/>
                <w:bCs/>
                <w:snapToGrid w:val="0"/>
              </w:rPr>
              <w:t>7</w:t>
            </w:r>
            <w:r w:rsidRPr="00630D52">
              <w:rPr>
                <w:b/>
                <w:bCs/>
                <w:snapToGrid w:val="0"/>
              </w:rPr>
              <w:t xml:space="preserve"> m. I</w:t>
            </w:r>
            <w:r w:rsidR="00DB4D56">
              <w:rPr>
                <w:b/>
                <w:bCs/>
                <w:snapToGrid w:val="0"/>
              </w:rPr>
              <w:t>I</w:t>
            </w:r>
            <w:r w:rsidRPr="00630D52">
              <w:rPr>
                <w:b/>
                <w:bCs/>
                <w:snapToGrid w:val="0"/>
              </w:rPr>
              <w:t xml:space="preserve"> </w:t>
            </w:r>
            <w:proofErr w:type="spellStart"/>
            <w:r w:rsidRPr="00630D52">
              <w:rPr>
                <w:b/>
                <w:bCs/>
                <w:snapToGrid w:val="0"/>
              </w:rPr>
              <w:t>ketv</w:t>
            </w:r>
            <w:proofErr w:type="spellEnd"/>
            <w:r w:rsidRPr="00630D52">
              <w:rPr>
                <w:b/>
                <w:bCs/>
                <w:snapToGrid w:val="0"/>
              </w:rPr>
              <w:t>.</w:t>
            </w:r>
          </w:p>
        </w:tc>
        <w:tc>
          <w:tcPr>
            <w:tcW w:w="2127" w:type="dxa"/>
          </w:tcPr>
          <w:p w14:paraId="739FB938" w14:textId="77777777" w:rsidR="00E9418B" w:rsidRPr="002B3452" w:rsidRDefault="00E9418B" w:rsidP="005831A8">
            <w:pPr>
              <w:widowControl w:val="0"/>
              <w:spacing w:before="60" w:after="60"/>
              <w:rPr>
                <w:snapToGrid w:val="0"/>
              </w:rPr>
            </w:pPr>
          </w:p>
        </w:tc>
      </w:tr>
      <w:tr w:rsidR="00EF2C24" w:rsidRPr="002B3452" w14:paraId="5FC1E040" w14:textId="77777777" w:rsidTr="00DB4D56">
        <w:tc>
          <w:tcPr>
            <w:tcW w:w="3539" w:type="dxa"/>
            <w:vMerge w:val="restart"/>
          </w:tcPr>
          <w:p w14:paraId="769D8B26" w14:textId="4F2ED66C" w:rsidR="00EF2C24" w:rsidRPr="002B3452" w:rsidRDefault="00EF2C24" w:rsidP="005831A8">
            <w:pPr>
              <w:widowControl w:val="0"/>
              <w:spacing w:before="60" w:after="60"/>
              <w:rPr>
                <w:snapToGrid w:val="0"/>
              </w:rPr>
            </w:pPr>
            <w:r>
              <w:t xml:space="preserve">3. Fondo sprendimų praktikoje egzistuoja sisteminės korupcijos rizikos, kurios kyla dėl teisinio kriterijų neapibrėžtumo, jų nevienodo taikymo ir vidinės kontrolės trūkumų. Nenuosekliai atliekamas administracinės atitikties vertinimas, sprendimai priimami neužtikrinant 4 akių principo, todėl pasitaiko atvejų, kuomet netinkamos paraiškos perduodamos ekspertams. Esant normų kolizijoms ir sprendimų logikos neatitikimams, atsiranda diskrecijos erdvė subjektyviam vertinimui, kurį sustiprina tai, kad </w:t>
            </w:r>
            <w:r>
              <w:lastRenderedPageBreak/>
              <w:t>nėra aiškių apibrėžčių nei stipendijų gavėjų ratui, nei tiriamosios žurnalistikos sampratai. Tai mažina pasitikėjimą Fondo sprendimais ir kelia abejonių dėl jų atitikties viešajam interesui (</w:t>
            </w:r>
            <w:r>
              <w:rPr>
                <w:i/>
                <w:iCs/>
              </w:rPr>
              <w:t>žr. 4.2 skirsnio argumentus</w:t>
            </w:r>
            <w:r>
              <w:t>).</w:t>
            </w:r>
          </w:p>
        </w:tc>
        <w:tc>
          <w:tcPr>
            <w:tcW w:w="4111" w:type="dxa"/>
          </w:tcPr>
          <w:p w14:paraId="14F036C8" w14:textId="277F8834" w:rsidR="00EF2C24" w:rsidRPr="00B37E20" w:rsidRDefault="00EF2C24" w:rsidP="005831A8">
            <w:pPr>
              <w:widowControl w:val="0"/>
              <w:spacing w:before="60" w:after="60"/>
              <w:rPr>
                <w:snapToGrid w:val="0"/>
              </w:rPr>
            </w:pPr>
            <w:r w:rsidRPr="00BF1D77">
              <w:rPr>
                <w:snapToGrid w:val="0"/>
              </w:rPr>
              <w:lastRenderedPageBreak/>
              <w:t xml:space="preserve">16. </w:t>
            </w:r>
            <w:r>
              <w:rPr>
                <w:snapToGrid w:val="0"/>
              </w:rPr>
              <w:t>I</w:t>
            </w:r>
            <w:r w:rsidRPr="00BF1D77">
              <w:rPr>
                <w:snapToGrid w:val="0"/>
              </w:rPr>
              <w:t>mtis teisėkūros iniciatyvos reglamentuojant tiriamosios žurnalistikos sąvoką bei užtikrinant, kad Finansavimo taisyklės nekonkuruotų su VIĮ bei nediskriminuotų tiriamosios žurnalistikos stipendijos programos potencialių finansavimo gavėjų dėl šiame skirsnyje nurodytų priežasčių</w:t>
            </w:r>
            <w:r>
              <w:rPr>
                <w:snapToGrid w:val="0"/>
              </w:rPr>
              <w:t>.</w:t>
            </w:r>
          </w:p>
        </w:tc>
        <w:tc>
          <w:tcPr>
            <w:tcW w:w="5386" w:type="dxa"/>
          </w:tcPr>
          <w:p w14:paraId="377A4C6D" w14:textId="7D31412D" w:rsidR="00EF2C24" w:rsidRDefault="00EF2C24" w:rsidP="005831A8">
            <w:pPr>
              <w:widowControl w:val="0"/>
              <w:spacing w:before="60" w:after="60"/>
              <w:rPr>
                <w:snapToGrid w:val="0"/>
              </w:rPr>
            </w:pPr>
            <w:r w:rsidRPr="000F042A">
              <w:rPr>
                <w:snapToGrid w:val="0"/>
              </w:rPr>
              <w:t>Medijų rėmimo fondo veiklai skiriamo Lietuvos Respublikos valstybės biudžeto lėšomis finansavimo paskirstymą, finansavimo organizavimo ir vykdymo tvarką, reikalavimus projektams ir jų paraiškoms, paraiškų svarstymą ir vertinimą, projektų vykdymo, atsiskaitymo už gautą finansavimą ir projektų vykdymo kontrolės tvarką bei kitas projektų finansavimo administravimo ir teikimo sąlygas reglamentuoja</w:t>
            </w:r>
            <w:r>
              <w:rPr>
                <w:snapToGrid w:val="0"/>
              </w:rPr>
              <w:t xml:space="preserve"> </w:t>
            </w:r>
            <w:r w:rsidRPr="000F042A">
              <w:rPr>
                <w:snapToGrid w:val="0"/>
              </w:rPr>
              <w:t>Medijų rėmimo fondo finansuojamų projektų teikimo taisyklės (toliau – Taisyklės)</w:t>
            </w:r>
            <w:r>
              <w:rPr>
                <w:snapToGrid w:val="0"/>
              </w:rPr>
              <w:t>.</w:t>
            </w:r>
          </w:p>
          <w:p w14:paraId="44EB72CF" w14:textId="203F8CF2" w:rsidR="00EF2C24" w:rsidRDefault="00EF2C24" w:rsidP="005831A8">
            <w:pPr>
              <w:widowControl w:val="0"/>
              <w:spacing w:before="60" w:after="60"/>
              <w:rPr>
                <w:snapToGrid w:val="0"/>
              </w:rPr>
            </w:pPr>
            <w:r>
              <w:rPr>
                <w:snapToGrid w:val="0"/>
              </w:rPr>
              <w:t>Kultūros ministerija planuoja peržiūrėti ir patikslinti Taisykles (prireikus – ir Visuomenės informavimo įstatymą)</w:t>
            </w:r>
            <w:r w:rsidR="005E1B6D">
              <w:rPr>
                <w:snapToGrid w:val="0"/>
              </w:rPr>
              <w:t xml:space="preserve"> šiais aspektais</w:t>
            </w:r>
            <w:r>
              <w:rPr>
                <w:snapToGrid w:val="0"/>
              </w:rPr>
              <w:t>:</w:t>
            </w:r>
          </w:p>
          <w:p w14:paraId="5E724170" w14:textId="57743BAD" w:rsidR="00EF2C24" w:rsidRPr="002B3452" w:rsidRDefault="00EF2C24" w:rsidP="00EF2C24">
            <w:pPr>
              <w:widowControl w:val="0"/>
              <w:spacing w:before="60" w:after="60"/>
              <w:rPr>
                <w:snapToGrid w:val="0"/>
              </w:rPr>
            </w:pPr>
            <w:r>
              <w:rPr>
                <w:snapToGrid w:val="0"/>
              </w:rPr>
              <w:t xml:space="preserve">(16 pasiūlymui) – </w:t>
            </w:r>
            <w:r w:rsidR="00202C6D">
              <w:rPr>
                <w:snapToGrid w:val="0"/>
              </w:rPr>
              <w:t>patikslinant subjektų</w:t>
            </w:r>
            <w:r w:rsidR="00E47088">
              <w:rPr>
                <w:snapToGrid w:val="0"/>
              </w:rPr>
              <w:t xml:space="preserve"> (fizinių asmenų)</w:t>
            </w:r>
            <w:r>
              <w:rPr>
                <w:snapToGrid w:val="0"/>
              </w:rPr>
              <w:t xml:space="preserve">, </w:t>
            </w:r>
            <w:r w:rsidR="00202C6D">
              <w:rPr>
                <w:snapToGrid w:val="0"/>
              </w:rPr>
              <w:t xml:space="preserve">kuriems gali būti skiriamos </w:t>
            </w:r>
            <w:r>
              <w:rPr>
                <w:snapToGrid w:val="0"/>
              </w:rPr>
              <w:t>stipendij</w:t>
            </w:r>
            <w:r w:rsidR="00202C6D">
              <w:rPr>
                <w:snapToGrid w:val="0"/>
              </w:rPr>
              <w:t xml:space="preserve">os, </w:t>
            </w:r>
            <w:r w:rsidR="002C4EE9">
              <w:rPr>
                <w:snapToGrid w:val="0"/>
              </w:rPr>
              <w:t xml:space="preserve">sąrašą ir </w:t>
            </w:r>
            <w:r>
              <w:rPr>
                <w:snapToGrid w:val="0"/>
              </w:rPr>
              <w:t>stipendijų skyrimo tiksl</w:t>
            </w:r>
            <w:r w:rsidR="002C4EE9">
              <w:rPr>
                <w:snapToGrid w:val="0"/>
              </w:rPr>
              <w:t>us</w:t>
            </w:r>
            <w:r>
              <w:rPr>
                <w:snapToGrid w:val="0"/>
              </w:rPr>
              <w:t>;</w:t>
            </w:r>
          </w:p>
        </w:tc>
        <w:tc>
          <w:tcPr>
            <w:tcW w:w="2127" w:type="dxa"/>
          </w:tcPr>
          <w:p w14:paraId="60455B06" w14:textId="77777777" w:rsidR="00EF2C24" w:rsidRPr="002B3452" w:rsidRDefault="00EF2C24" w:rsidP="005831A8">
            <w:pPr>
              <w:widowControl w:val="0"/>
              <w:spacing w:before="60" w:after="60"/>
              <w:rPr>
                <w:snapToGrid w:val="0"/>
              </w:rPr>
            </w:pPr>
          </w:p>
        </w:tc>
      </w:tr>
      <w:tr w:rsidR="00E9418B" w:rsidRPr="002B3452" w14:paraId="7A9EA1A4" w14:textId="77777777" w:rsidTr="00DB4D56">
        <w:trPr>
          <w:trHeight w:val="3984"/>
        </w:trPr>
        <w:tc>
          <w:tcPr>
            <w:tcW w:w="3539" w:type="dxa"/>
            <w:vMerge/>
          </w:tcPr>
          <w:p w14:paraId="2AFBA98E" w14:textId="77777777" w:rsidR="00E9418B" w:rsidRDefault="00E9418B" w:rsidP="00E9418B">
            <w:pPr>
              <w:widowControl w:val="0"/>
              <w:spacing w:before="60" w:after="60"/>
            </w:pPr>
          </w:p>
        </w:tc>
        <w:tc>
          <w:tcPr>
            <w:tcW w:w="4111" w:type="dxa"/>
          </w:tcPr>
          <w:p w14:paraId="13A473EC" w14:textId="2E85CF5E" w:rsidR="00E9418B" w:rsidRPr="00BF1D77" w:rsidRDefault="00E9418B" w:rsidP="00E9418B">
            <w:pPr>
              <w:widowControl w:val="0"/>
              <w:spacing w:before="60" w:after="60"/>
              <w:rPr>
                <w:snapToGrid w:val="0"/>
              </w:rPr>
            </w:pPr>
            <w:r w:rsidRPr="00BF1D77">
              <w:rPr>
                <w:snapToGrid w:val="0"/>
              </w:rPr>
              <w:t xml:space="preserve">17. </w:t>
            </w:r>
            <w:r>
              <w:rPr>
                <w:snapToGrid w:val="0"/>
              </w:rPr>
              <w:t>T</w:t>
            </w:r>
            <w:r w:rsidRPr="00BF1D77">
              <w:rPr>
                <w:snapToGrid w:val="0"/>
              </w:rPr>
              <w:t>obulinti finansavimo sąlygas, nurodant, ar VIP kategorija (rūšis) vertinama, atsižvelgiant į jos faktinį turinį, ar formaliai remiantis VIRSIS deklaruotų duomenų pagrindu. Užtikrinti, kad VIRSIS būtų viešai matomi ne tik aktualūs, tačiau ir istoriniai duomenys, siekiant eliminuoti galimybę VIRS manipuliuoti valdomų VIP kategorijų deklaravimu ar kt. duomenimis, aktualiais finansavimo gavimui, bei suderinti veiklos rūšių ir kategorijų pavadinimus su VIĮ naudojamomis sąvokomis.</w:t>
            </w:r>
          </w:p>
        </w:tc>
        <w:tc>
          <w:tcPr>
            <w:tcW w:w="5386" w:type="dxa"/>
          </w:tcPr>
          <w:p w14:paraId="26FFD537" w14:textId="6DE523C8" w:rsidR="00E9418B" w:rsidRPr="000F042A" w:rsidRDefault="00E9418B" w:rsidP="00E9418B">
            <w:pPr>
              <w:widowControl w:val="0"/>
              <w:spacing w:before="60" w:after="60"/>
              <w:rPr>
                <w:snapToGrid w:val="0"/>
              </w:rPr>
            </w:pPr>
            <w:r>
              <w:rPr>
                <w:snapToGrid w:val="0"/>
              </w:rPr>
              <w:t>(17 pasiūlymui) – peržiūr</w:t>
            </w:r>
            <w:r w:rsidR="00202C6D">
              <w:rPr>
                <w:snapToGrid w:val="0"/>
              </w:rPr>
              <w:t>int</w:t>
            </w:r>
            <w:r>
              <w:rPr>
                <w:snapToGrid w:val="0"/>
              </w:rPr>
              <w:t xml:space="preserve"> duomenų teikimo ar jų keitimo tvarką Viešosios informacijos rengėjų ir skleidėjų informacinėje sistemoje (VIRSIS)</w:t>
            </w:r>
            <w:r w:rsidR="00792D2C">
              <w:rPr>
                <w:snapToGrid w:val="0"/>
              </w:rPr>
              <w:t>.</w:t>
            </w:r>
          </w:p>
        </w:tc>
        <w:tc>
          <w:tcPr>
            <w:tcW w:w="2127" w:type="dxa"/>
          </w:tcPr>
          <w:p w14:paraId="3FA36676" w14:textId="77777777" w:rsidR="00E9418B" w:rsidRPr="002B3452" w:rsidRDefault="00E9418B" w:rsidP="00E9418B">
            <w:pPr>
              <w:widowControl w:val="0"/>
              <w:spacing w:before="60" w:after="60"/>
              <w:rPr>
                <w:snapToGrid w:val="0"/>
              </w:rPr>
            </w:pPr>
          </w:p>
        </w:tc>
      </w:tr>
      <w:tr w:rsidR="00E9418B" w:rsidRPr="002B3452" w14:paraId="071AAED0" w14:textId="77777777" w:rsidTr="00DB4D56">
        <w:tc>
          <w:tcPr>
            <w:tcW w:w="3539" w:type="dxa"/>
          </w:tcPr>
          <w:p w14:paraId="7D9ED994" w14:textId="18CEE189" w:rsidR="00E9418B" w:rsidRPr="006970D1" w:rsidRDefault="00E9418B" w:rsidP="00E9418B">
            <w:pPr>
              <w:widowControl w:val="0"/>
              <w:spacing w:before="60" w:after="60"/>
              <w:rPr>
                <w:snapToGrid w:val="0"/>
              </w:rPr>
            </w:pPr>
            <w:r w:rsidRPr="006970D1">
              <w:rPr>
                <w:snapToGrid w:val="0"/>
              </w:rPr>
              <w:t>4. Nereglamentuota paraiškų ir lėšų perkėlimo arba paskirstymo tvarka kelia piktnaudžiavimo ir neskaidrių sprendimų riziką, ypač tais atvejais, kai Taryba nesivadovauja ekspertų išvadomis ir sprendimus dėl finansavimo skyrimo / neskyrimo ar jo dydžio keitimo priima be objektyvių, aiškiai pagrįstų argumentų. Dėl šių priežasčių sudaromos prielaidos sprendimų ne pagal nustatytus kriterijus priėmimui, vadovaujantis subjektyviais, nepagrįstais ar galimai šališkais motyvais (</w:t>
            </w:r>
            <w:r w:rsidRPr="006970D1">
              <w:rPr>
                <w:i/>
                <w:iCs/>
                <w:snapToGrid w:val="0"/>
              </w:rPr>
              <w:t>žr. 4.3 skirsnio argumentus</w:t>
            </w:r>
            <w:r w:rsidRPr="006970D1">
              <w:rPr>
                <w:snapToGrid w:val="0"/>
              </w:rPr>
              <w:t>).</w:t>
            </w:r>
          </w:p>
        </w:tc>
        <w:tc>
          <w:tcPr>
            <w:tcW w:w="4111" w:type="dxa"/>
          </w:tcPr>
          <w:p w14:paraId="520E00DF" w14:textId="53AEF4F3" w:rsidR="00E9418B" w:rsidRDefault="00E9418B" w:rsidP="00E9418B">
            <w:pPr>
              <w:widowControl w:val="0"/>
              <w:spacing w:before="60" w:after="60"/>
              <w:rPr>
                <w:snapToGrid w:val="0"/>
              </w:rPr>
            </w:pPr>
            <w:r>
              <w:rPr>
                <w:snapToGrid w:val="0"/>
              </w:rPr>
              <w:t>18. T</w:t>
            </w:r>
            <w:r w:rsidRPr="00D54DBD">
              <w:rPr>
                <w:snapToGrid w:val="0"/>
              </w:rPr>
              <w:t>obulinti teisinį reglamentavimą, nustatant aiškią paraiškų ir lėšų (likučių) perkėlimo į kitą programą arba papildomo konkurso skelbimo tvarką</w:t>
            </w:r>
            <w:r>
              <w:rPr>
                <w:snapToGrid w:val="0"/>
              </w:rPr>
              <w:t>.</w:t>
            </w:r>
          </w:p>
        </w:tc>
        <w:tc>
          <w:tcPr>
            <w:tcW w:w="5386" w:type="dxa"/>
          </w:tcPr>
          <w:p w14:paraId="228E1CDC" w14:textId="40F5EC14" w:rsidR="00792D2C" w:rsidRDefault="00792D2C" w:rsidP="00E9418B">
            <w:pPr>
              <w:widowControl w:val="0"/>
              <w:spacing w:before="60" w:after="60"/>
              <w:rPr>
                <w:snapToGrid w:val="0"/>
              </w:rPr>
            </w:pPr>
            <w:r>
              <w:rPr>
                <w:snapToGrid w:val="0"/>
              </w:rPr>
              <w:t>Kultūros ministerija planuoja peržiūrėti ir patikslinti Taisykles (prireikus – ir Visuomenės informavimo įstatymą) šiais aspektais:</w:t>
            </w:r>
          </w:p>
          <w:p w14:paraId="7E443975" w14:textId="5A26EE3A" w:rsidR="00E9418B" w:rsidRDefault="00E9418B" w:rsidP="00E9418B">
            <w:pPr>
              <w:widowControl w:val="0"/>
              <w:spacing w:before="60" w:after="60"/>
              <w:rPr>
                <w:snapToGrid w:val="0"/>
              </w:rPr>
            </w:pPr>
            <w:r>
              <w:rPr>
                <w:snapToGrid w:val="0"/>
              </w:rPr>
              <w:t>(18 pasiūlymui) – detalizuo</w:t>
            </w:r>
            <w:r w:rsidR="002C4EE9">
              <w:rPr>
                <w:snapToGrid w:val="0"/>
              </w:rPr>
              <w:t>jant</w:t>
            </w:r>
            <w:r>
              <w:rPr>
                <w:snapToGrid w:val="0"/>
              </w:rPr>
              <w:t xml:space="preserve"> sąlygas, kurias įvykdžius galimas lėšų perkėlimas iš vienos Medijų rėmimo fondo administruojamos programos į kitą, taip pat </w:t>
            </w:r>
            <w:r w:rsidR="002C4EE9">
              <w:rPr>
                <w:snapToGrid w:val="0"/>
              </w:rPr>
              <w:t xml:space="preserve">nustatant </w:t>
            </w:r>
            <w:r>
              <w:rPr>
                <w:snapToGrid w:val="0"/>
              </w:rPr>
              <w:t>atvejus, kai turi būti skelbiamas naujas (papildomas) konkursas konkrečioje programoje (programose);</w:t>
            </w:r>
          </w:p>
        </w:tc>
        <w:tc>
          <w:tcPr>
            <w:tcW w:w="2127" w:type="dxa"/>
          </w:tcPr>
          <w:p w14:paraId="1A5D4487" w14:textId="77777777" w:rsidR="00E9418B" w:rsidRPr="002B3452" w:rsidRDefault="00E9418B" w:rsidP="00E9418B">
            <w:pPr>
              <w:widowControl w:val="0"/>
              <w:spacing w:before="60" w:after="60"/>
              <w:rPr>
                <w:snapToGrid w:val="0"/>
              </w:rPr>
            </w:pPr>
          </w:p>
        </w:tc>
      </w:tr>
      <w:tr w:rsidR="00E9418B" w:rsidRPr="002B3452" w14:paraId="189B8B85" w14:textId="77777777" w:rsidTr="00DB4D56">
        <w:tc>
          <w:tcPr>
            <w:tcW w:w="3539" w:type="dxa"/>
            <w:vMerge w:val="restart"/>
          </w:tcPr>
          <w:p w14:paraId="1D97C6E0" w14:textId="5B9AD67E" w:rsidR="00E9418B" w:rsidRPr="002B3452" w:rsidRDefault="00E9418B" w:rsidP="00E9418B">
            <w:pPr>
              <w:widowControl w:val="0"/>
              <w:spacing w:before="60" w:after="60"/>
              <w:rPr>
                <w:snapToGrid w:val="0"/>
              </w:rPr>
            </w:pPr>
            <w:r w:rsidRPr="00B36BC0">
              <w:rPr>
                <w:snapToGrid w:val="0"/>
              </w:rPr>
              <w:t xml:space="preserve">5. Korupcijos rizikos analizė atskleidė sistemines spragas, kurios sudaro sąlygas </w:t>
            </w:r>
            <w:r w:rsidRPr="00B36BC0">
              <w:rPr>
                <w:snapToGrid w:val="0"/>
              </w:rPr>
              <w:lastRenderedPageBreak/>
              <w:t>neefektyviam, galimai neskaidriam ir neproporcingam viešųjų lėšų panaudojimui. Nėra veiklos, projektų, tyrimų stebėsenos reglamentavimo, projektų finansavimo proporcinio pagrindimo, o finansavimas V programai skiriamas ne pagal faktinius veiklos ar nuostolių rodiklius. Kultūros periodinių leidinių rėmimo modelis rodo didelę priklausomybę nuo valstybės lėšų, lėšų dubliavimą (kai tam pačiam leidiniui finansuojama ir veikla, ir projektas), taip pat finansavimo koncentraciją siauram leidėjų ratui. Tuo tarpu V programoje stebimas ne tik finansavimo racionalaus pagrindimo trūkumas, o lėšos skubotai išdalinamos vos keliems dideliems rinkos dalyviams. Šios tendencijos prieštarauja Fondo deklaruojamiems tikslams – skatinti kokybišką žurnalistiką ir racionaliai naudoti viešąsias lėšas – bei kelia sisteminę favoritizmo, formalizmo ir viešojo intereso pažeidimo riziką (</w:t>
            </w:r>
            <w:r w:rsidRPr="00B36BC0">
              <w:rPr>
                <w:i/>
                <w:iCs/>
                <w:snapToGrid w:val="0"/>
              </w:rPr>
              <w:t>žr. 4.4 skirsnio argumentus</w:t>
            </w:r>
            <w:r w:rsidRPr="00B36BC0">
              <w:rPr>
                <w:snapToGrid w:val="0"/>
              </w:rPr>
              <w:t>).</w:t>
            </w:r>
          </w:p>
        </w:tc>
        <w:tc>
          <w:tcPr>
            <w:tcW w:w="4111" w:type="dxa"/>
          </w:tcPr>
          <w:p w14:paraId="62B53F49" w14:textId="464729B8" w:rsidR="00E9418B" w:rsidRPr="005831A8" w:rsidRDefault="00E9418B" w:rsidP="00E9418B">
            <w:pPr>
              <w:widowControl w:val="0"/>
              <w:spacing w:before="60" w:after="60"/>
              <w:rPr>
                <w:snapToGrid w:val="0"/>
              </w:rPr>
            </w:pPr>
            <w:r w:rsidRPr="00895088">
              <w:rPr>
                <w:snapToGrid w:val="0"/>
              </w:rPr>
              <w:lastRenderedPageBreak/>
              <w:t xml:space="preserve">20. </w:t>
            </w:r>
            <w:r>
              <w:rPr>
                <w:snapToGrid w:val="0"/>
              </w:rPr>
              <w:t>T</w:t>
            </w:r>
            <w:r w:rsidRPr="00895088">
              <w:rPr>
                <w:snapToGrid w:val="0"/>
              </w:rPr>
              <w:t xml:space="preserve">obulinti teisinį reguliavimą tokiu būdu, kad programų finansavimo proporcijos būtų paremtos paraiškų </w:t>
            </w:r>
            <w:r w:rsidRPr="00895088">
              <w:rPr>
                <w:snapToGrid w:val="0"/>
              </w:rPr>
              <w:lastRenderedPageBreak/>
              <w:t>skaičiumi, kokybe, auditorijų pasiekiamumu ir tiražo (prenumeratos) ar kt. objektyviais rodikliais. Įvesti mažesnes (negu 80 proc.) apimties santykines ribas projektams, vykdomiems toje pačioje VIP, kuriai jau skirtas finansavimas veiklos paprogramėje, kad veiklos ir projekto finansavimas kartu sudėjus neviršytų 80 % realių VIRS patirtų sąnaudų</w:t>
            </w:r>
            <w:r>
              <w:rPr>
                <w:snapToGrid w:val="0"/>
              </w:rPr>
              <w:t>.</w:t>
            </w:r>
          </w:p>
        </w:tc>
        <w:tc>
          <w:tcPr>
            <w:tcW w:w="5386" w:type="dxa"/>
          </w:tcPr>
          <w:p w14:paraId="5E49D166" w14:textId="348DD405" w:rsidR="00E9418B" w:rsidRPr="002B3452" w:rsidRDefault="00E9418B" w:rsidP="00E9418B">
            <w:pPr>
              <w:widowControl w:val="0"/>
              <w:spacing w:before="60" w:after="60"/>
              <w:rPr>
                <w:snapToGrid w:val="0"/>
              </w:rPr>
            </w:pPr>
            <w:r>
              <w:rPr>
                <w:snapToGrid w:val="0"/>
              </w:rPr>
              <w:lastRenderedPageBreak/>
              <w:t>(20 pasiūlymui) – nustat</w:t>
            </w:r>
            <w:r w:rsidR="002C4EE9">
              <w:rPr>
                <w:snapToGrid w:val="0"/>
              </w:rPr>
              <w:t>ant</w:t>
            </w:r>
            <w:r>
              <w:rPr>
                <w:snapToGrid w:val="0"/>
              </w:rPr>
              <w:t xml:space="preserve"> santykinai mažesnį projekto finansavimo intensyvumą pareiškėjams, kurie atitinkamoje programoje gavo finansavimą ir </w:t>
            </w:r>
            <w:r>
              <w:rPr>
                <w:snapToGrid w:val="0"/>
              </w:rPr>
              <w:lastRenderedPageBreak/>
              <w:t>veiklai; įvertin</w:t>
            </w:r>
            <w:r w:rsidR="004C04EC">
              <w:rPr>
                <w:snapToGrid w:val="0"/>
              </w:rPr>
              <w:t>ant</w:t>
            </w:r>
            <w:r>
              <w:rPr>
                <w:snapToGrid w:val="0"/>
              </w:rPr>
              <w:t xml:space="preserve"> papildomų rodiklių reikalingumą nustatant finansavimo proporcijas tarp programų;</w:t>
            </w:r>
          </w:p>
        </w:tc>
        <w:tc>
          <w:tcPr>
            <w:tcW w:w="2127" w:type="dxa"/>
          </w:tcPr>
          <w:p w14:paraId="50F315E3" w14:textId="77777777" w:rsidR="00E9418B" w:rsidRPr="002B3452" w:rsidRDefault="00E9418B" w:rsidP="00E9418B">
            <w:pPr>
              <w:widowControl w:val="0"/>
              <w:spacing w:before="60" w:after="60"/>
              <w:rPr>
                <w:snapToGrid w:val="0"/>
              </w:rPr>
            </w:pPr>
          </w:p>
        </w:tc>
      </w:tr>
      <w:tr w:rsidR="00E9418B" w:rsidRPr="002B3452" w14:paraId="3BB008E0" w14:textId="77777777" w:rsidTr="00DB4D56">
        <w:tc>
          <w:tcPr>
            <w:tcW w:w="3539" w:type="dxa"/>
            <w:vMerge/>
          </w:tcPr>
          <w:p w14:paraId="47B6F769" w14:textId="77777777" w:rsidR="00E9418B" w:rsidRPr="002B3452" w:rsidRDefault="00E9418B" w:rsidP="00E9418B">
            <w:pPr>
              <w:widowControl w:val="0"/>
              <w:spacing w:before="60" w:after="60"/>
              <w:rPr>
                <w:snapToGrid w:val="0"/>
              </w:rPr>
            </w:pPr>
          </w:p>
        </w:tc>
        <w:tc>
          <w:tcPr>
            <w:tcW w:w="4111" w:type="dxa"/>
          </w:tcPr>
          <w:p w14:paraId="513E5FE5" w14:textId="3FD8FB93" w:rsidR="00E9418B" w:rsidRPr="00895088" w:rsidRDefault="00E9418B" w:rsidP="00E9418B">
            <w:pPr>
              <w:widowControl w:val="0"/>
              <w:spacing w:before="60" w:after="60"/>
              <w:rPr>
                <w:snapToGrid w:val="0"/>
              </w:rPr>
            </w:pPr>
            <w:r w:rsidRPr="00895088">
              <w:rPr>
                <w:snapToGrid w:val="0"/>
              </w:rPr>
              <w:t xml:space="preserve">21. </w:t>
            </w:r>
            <w:r>
              <w:rPr>
                <w:snapToGrid w:val="0"/>
              </w:rPr>
              <w:t>R</w:t>
            </w:r>
            <w:r w:rsidRPr="00895088">
              <w:rPr>
                <w:snapToGrid w:val="0"/>
              </w:rPr>
              <w:t>eglamentuoti VIRS veiklos, projektų ir tyrimų stebėsenos atlikimo, atsižvelgiant į skirsnyje nurodytus aspektus ir susiejant jos rezultatus su tolimesnio VIRS finansavimo galimybėmis.</w:t>
            </w:r>
          </w:p>
        </w:tc>
        <w:tc>
          <w:tcPr>
            <w:tcW w:w="5386" w:type="dxa"/>
          </w:tcPr>
          <w:p w14:paraId="60F1AB7B" w14:textId="21163B25" w:rsidR="00E9418B" w:rsidRPr="002B3452" w:rsidRDefault="00E9418B" w:rsidP="00E9418B">
            <w:pPr>
              <w:widowControl w:val="0"/>
              <w:spacing w:before="60" w:after="60"/>
              <w:rPr>
                <w:snapToGrid w:val="0"/>
              </w:rPr>
            </w:pPr>
            <w:r>
              <w:rPr>
                <w:snapToGrid w:val="0"/>
              </w:rPr>
              <w:t>(21 pasiūlymui) – įtrauk</w:t>
            </w:r>
            <w:r w:rsidR="004C04EC">
              <w:rPr>
                <w:snapToGrid w:val="0"/>
              </w:rPr>
              <w:t>iant</w:t>
            </w:r>
            <w:r>
              <w:rPr>
                <w:snapToGrid w:val="0"/>
              </w:rPr>
              <w:t xml:space="preserve"> papildomas nuostatas dėl projektų įgyvendinimo stebėsenos ir jų rezultatų poveikio tolesniam projekto finansavimui ir (ar) jo kontrolei;</w:t>
            </w:r>
          </w:p>
        </w:tc>
        <w:tc>
          <w:tcPr>
            <w:tcW w:w="2127" w:type="dxa"/>
          </w:tcPr>
          <w:p w14:paraId="324C7EFA" w14:textId="77777777" w:rsidR="00E9418B" w:rsidRPr="002B3452" w:rsidRDefault="00E9418B" w:rsidP="00E9418B">
            <w:pPr>
              <w:widowControl w:val="0"/>
              <w:spacing w:before="60" w:after="60"/>
              <w:rPr>
                <w:snapToGrid w:val="0"/>
              </w:rPr>
            </w:pPr>
          </w:p>
        </w:tc>
      </w:tr>
      <w:tr w:rsidR="00E9418B" w:rsidRPr="002B3452" w14:paraId="71EBF06B" w14:textId="77777777" w:rsidTr="00DB4D56">
        <w:tc>
          <w:tcPr>
            <w:tcW w:w="3539" w:type="dxa"/>
            <w:vMerge/>
          </w:tcPr>
          <w:p w14:paraId="281DAFBF" w14:textId="77777777" w:rsidR="00E9418B" w:rsidRPr="002B3452" w:rsidRDefault="00E9418B" w:rsidP="00E9418B">
            <w:pPr>
              <w:widowControl w:val="0"/>
              <w:spacing w:before="60" w:after="60"/>
              <w:rPr>
                <w:snapToGrid w:val="0"/>
              </w:rPr>
            </w:pPr>
          </w:p>
        </w:tc>
        <w:tc>
          <w:tcPr>
            <w:tcW w:w="4111" w:type="dxa"/>
          </w:tcPr>
          <w:p w14:paraId="15EC0928" w14:textId="3B4432AA" w:rsidR="00E9418B" w:rsidRPr="00895088" w:rsidRDefault="00E9418B" w:rsidP="00E9418B">
            <w:pPr>
              <w:widowControl w:val="0"/>
              <w:spacing w:before="60" w:after="60"/>
              <w:rPr>
                <w:snapToGrid w:val="0"/>
              </w:rPr>
            </w:pPr>
            <w:r w:rsidRPr="00895088">
              <w:rPr>
                <w:snapToGrid w:val="0"/>
              </w:rPr>
              <w:t xml:space="preserve">22. </w:t>
            </w:r>
            <w:r>
              <w:rPr>
                <w:snapToGrid w:val="0"/>
              </w:rPr>
              <w:t>N</w:t>
            </w:r>
            <w:r w:rsidRPr="00895088">
              <w:rPr>
                <w:snapToGrid w:val="0"/>
              </w:rPr>
              <w:t>ustatyti maksimalų leistiną Fondo finansavimo intensyvumą vienam VIRS (jo projektui), kuris leistų mažinti priklausomybę nuo valstybinės paramos ir skatintų kultūros periodinių leidinių bei kitų VIRS kokybę ir didesnę sklaidą</w:t>
            </w:r>
            <w:r>
              <w:rPr>
                <w:snapToGrid w:val="0"/>
              </w:rPr>
              <w:t>.</w:t>
            </w:r>
          </w:p>
        </w:tc>
        <w:tc>
          <w:tcPr>
            <w:tcW w:w="5386" w:type="dxa"/>
          </w:tcPr>
          <w:p w14:paraId="1B28040C" w14:textId="057A154F" w:rsidR="00E9418B" w:rsidRPr="002B3452" w:rsidRDefault="00E9418B" w:rsidP="00E9418B">
            <w:pPr>
              <w:widowControl w:val="0"/>
              <w:spacing w:before="60" w:after="60"/>
              <w:rPr>
                <w:snapToGrid w:val="0"/>
              </w:rPr>
            </w:pPr>
            <w:r>
              <w:rPr>
                <w:snapToGrid w:val="0"/>
              </w:rPr>
              <w:t>(22 pasiūlymui) – peržiūr</w:t>
            </w:r>
            <w:r w:rsidR="004C04EC">
              <w:rPr>
                <w:snapToGrid w:val="0"/>
              </w:rPr>
              <w:t xml:space="preserve">int </w:t>
            </w:r>
            <w:r>
              <w:rPr>
                <w:snapToGrid w:val="0"/>
              </w:rPr>
              <w:t>ir nustat</w:t>
            </w:r>
            <w:r w:rsidR="004C04EC">
              <w:rPr>
                <w:snapToGrid w:val="0"/>
              </w:rPr>
              <w:t>ant</w:t>
            </w:r>
            <w:r>
              <w:rPr>
                <w:snapToGrid w:val="0"/>
              </w:rPr>
              <w:t xml:space="preserve"> maksimalią finansavimo sumą vienam projektui arba vienam pareiškėjui (taip pat ir </w:t>
            </w:r>
            <w:r w:rsidRPr="00895088">
              <w:rPr>
                <w:snapToGrid w:val="0"/>
              </w:rPr>
              <w:t>kultūros periodini</w:t>
            </w:r>
            <w:r>
              <w:rPr>
                <w:snapToGrid w:val="0"/>
              </w:rPr>
              <w:t>o</w:t>
            </w:r>
            <w:r w:rsidRPr="00895088">
              <w:rPr>
                <w:snapToGrid w:val="0"/>
              </w:rPr>
              <w:t xml:space="preserve"> leidini</w:t>
            </w:r>
            <w:r>
              <w:rPr>
                <w:snapToGrid w:val="0"/>
              </w:rPr>
              <w:t xml:space="preserve">o leidėjui), jei jis Medijų rėmimo fondui pateikia daugiau nei vieną projektą; </w:t>
            </w:r>
          </w:p>
        </w:tc>
        <w:tc>
          <w:tcPr>
            <w:tcW w:w="2127" w:type="dxa"/>
          </w:tcPr>
          <w:p w14:paraId="693002E5" w14:textId="77777777" w:rsidR="00E9418B" w:rsidRPr="002B3452" w:rsidRDefault="00E9418B" w:rsidP="00E9418B">
            <w:pPr>
              <w:widowControl w:val="0"/>
              <w:spacing w:before="60" w:after="60"/>
              <w:rPr>
                <w:snapToGrid w:val="0"/>
              </w:rPr>
            </w:pPr>
          </w:p>
        </w:tc>
      </w:tr>
      <w:tr w:rsidR="00E9418B" w:rsidRPr="002B3452" w14:paraId="5F28DECC" w14:textId="77777777" w:rsidTr="00DB4D56">
        <w:tc>
          <w:tcPr>
            <w:tcW w:w="3539" w:type="dxa"/>
            <w:vMerge/>
          </w:tcPr>
          <w:p w14:paraId="18F2B8EB" w14:textId="77777777" w:rsidR="00E9418B" w:rsidRPr="002B3452" w:rsidRDefault="00E9418B" w:rsidP="00E9418B">
            <w:pPr>
              <w:widowControl w:val="0"/>
              <w:spacing w:before="60" w:after="60"/>
              <w:rPr>
                <w:snapToGrid w:val="0"/>
              </w:rPr>
            </w:pPr>
          </w:p>
        </w:tc>
        <w:tc>
          <w:tcPr>
            <w:tcW w:w="4111" w:type="dxa"/>
          </w:tcPr>
          <w:p w14:paraId="32ACC1B9" w14:textId="542869AD" w:rsidR="00E9418B" w:rsidRPr="00895088" w:rsidRDefault="00E9418B" w:rsidP="00E9418B">
            <w:pPr>
              <w:widowControl w:val="0"/>
              <w:spacing w:before="60" w:after="60"/>
              <w:rPr>
                <w:snapToGrid w:val="0"/>
              </w:rPr>
            </w:pPr>
            <w:r w:rsidRPr="00DB4D56">
              <w:rPr>
                <w:snapToGrid w:val="0"/>
              </w:rPr>
              <w:t>23. Tobulinti V programos finansavimo kriterijus, numatant maksimalią vieno projekto finansavimo ribą, jų skaičių, kurie leistų užtikrinti projekto kokybę, bei nustatant, kad pagrindu skirti paramą būtų reikšmingas azartinių lošimų reklamos pajamų netekimas.</w:t>
            </w:r>
          </w:p>
        </w:tc>
        <w:tc>
          <w:tcPr>
            <w:tcW w:w="5386" w:type="dxa"/>
          </w:tcPr>
          <w:p w14:paraId="2890B272" w14:textId="68F9907C" w:rsidR="00E9418B" w:rsidRPr="002B3452" w:rsidRDefault="00E9418B" w:rsidP="00DB4D56">
            <w:pPr>
              <w:widowControl w:val="0"/>
              <w:spacing w:before="60" w:after="60"/>
              <w:rPr>
                <w:snapToGrid w:val="0"/>
              </w:rPr>
            </w:pPr>
            <w:r>
              <w:rPr>
                <w:snapToGrid w:val="0"/>
              </w:rPr>
              <w:t xml:space="preserve">(23 pasiūlymui) – </w:t>
            </w:r>
            <w:r w:rsidR="00CA7CA8">
              <w:rPr>
                <w:snapToGrid w:val="0"/>
              </w:rPr>
              <w:t xml:space="preserve">peržiūrint ir nustatant </w:t>
            </w:r>
            <w:r>
              <w:rPr>
                <w:snapToGrid w:val="0"/>
              </w:rPr>
              <w:t xml:space="preserve">maksimalią finansavimo sumą vienam projektui arba vienam pareiškėjui (taip pat ir </w:t>
            </w:r>
            <w:r w:rsidRPr="00895088">
              <w:rPr>
                <w:snapToGrid w:val="0"/>
              </w:rPr>
              <w:t>kultūros periodini</w:t>
            </w:r>
            <w:r>
              <w:rPr>
                <w:snapToGrid w:val="0"/>
              </w:rPr>
              <w:t>o</w:t>
            </w:r>
            <w:r w:rsidRPr="00895088">
              <w:rPr>
                <w:snapToGrid w:val="0"/>
              </w:rPr>
              <w:t xml:space="preserve"> leidini</w:t>
            </w:r>
            <w:r>
              <w:rPr>
                <w:snapToGrid w:val="0"/>
              </w:rPr>
              <w:t>o leidėjui), jei jis Medijų rėmimo fondui pateikia daugiau nei vieną projektą; peržiūr</w:t>
            </w:r>
            <w:r w:rsidR="00F9720B">
              <w:rPr>
                <w:snapToGrid w:val="0"/>
              </w:rPr>
              <w:t>int</w:t>
            </w:r>
            <w:r>
              <w:rPr>
                <w:snapToGrid w:val="0"/>
              </w:rPr>
              <w:t xml:space="preserve"> paraiškų, kurias konkurso metu gali teikti vienas pareiškėjas, skaičių;</w:t>
            </w:r>
          </w:p>
        </w:tc>
        <w:tc>
          <w:tcPr>
            <w:tcW w:w="2127" w:type="dxa"/>
          </w:tcPr>
          <w:p w14:paraId="521A89E4" w14:textId="77777777" w:rsidR="00E9418B" w:rsidRPr="002B3452" w:rsidRDefault="00E9418B" w:rsidP="00E9418B">
            <w:pPr>
              <w:widowControl w:val="0"/>
              <w:spacing w:before="60" w:after="60"/>
              <w:rPr>
                <w:snapToGrid w:val="0"/>
              </w:rPr>
            </w:pPr>
          </w:p>
        </w:tc>
      </w:tr>
      <w:tr w:rsidR="00E9418B" w:rsidRPr="002B3452" w14:paraId="6A9F0BCF" w14:textId="77777777" w:rsidTr="00DB4D56">
        <w:trPr>
          <w:trHeight w:val="948"/>
        </w:trPr>
        <w:tc>
          <w:tcPr>
            <w:tcW w:w="3539" w:type="dxa"/>
            <w:vMerge/>
          </w:tcPr>
          <w:p w14:paraId="732F2C37" w14:textId="77777777" w:rsidR="00E9418B" w:rsidRPr="002B3452" w:rsidRDefault="00E9418B" w:rsidP="00E9418B">
            <w:pPr>
              <w:widowControl w:val="0"/>
              <w:spacing w:before="60" w:after="60"/>
              <w:rPr>
                <w:snapToGrid w:val="0"/>
              </w:rPr>
            </w:pPr>
          </w:p>
        </w:tc>
        <w:tc>
          <w:tcPr>
            <w:tcW w:w="4111" w:type="dxa"/>
          </w:tcPr>
          <w:p w14:paraId="73C040B3" w14:textId="79CC7183" w:rsidR="00E9418B" w:rsidRPr="00895088" w:rsidRDefault="00E9418B" w:rsidP="00E9418B">
            <w:pPr>
              <w:widowControl w:val="0"/>
              <w:spacing w:before="60" w:after="60"/>
              <w:rPr>
                <w:snapToGrid w:val="0"/>
              </w:rPr>
            </w:pPr>
            <w:r w:rsidRPr="00895088">
              <w:rPr>
                <w:snapToGrid w:val="0"/>
              </w:rPr>
              <w:t xml:space="preserve">24. </w:t>
            </w:r>
            <w:r>
              <w:rPr>
                <w:snapToGrid w:val="0"/>
              </w:rPr>
              <w:t>N</w:t>
            </w:r>
            <w:r w:rsidRPr="00895088">
              <w:rPr>
                <w:snapToGrid w:val="0"/>
              </w:rPr>
              <w:t xml:space="preserve">ustatyti maksimalią kiekvienoje programoje galimą finansuoti Fondo lėšomis vieno projekto vertę (eurais). </w:t>
            </w:r>
          </w:p>
        </w:tc>
        <w:tc>
          <w:tcPr>
            <w:tcW w:w="5386" w:type="dxa"/>
          </w:tcPr>
          <w:p w14:paraId="317F03A5" w14:textId="1F8FB8AC" w:rsidR="00E9418B" w:rsidRPr="002B3452" w:rsidRDefault="009F1A54" w:rsidP="00E9418B">
            <w:pPr>
              <w:widowControl w:val="0"/>
              <w:spacing w:before="60" w:after="60"/>
              <w:rPr>
                <w:snapToGrid w:val="0"/>
              </w:rPr>
            </w:pPr>
            <w:r>
              <w:rPr>
                <w:snapToGrid w:val="0"/>
              </w:rPr>
              <w:t>(24 pasiūlymui) – peržiūrint ir nustatant maksimalią finansavimo sumą vienam projektui (pareiškėjui, jei jis pateikia daugiau nei vieną projektą).</w:t>
            </w:r>
          </w:p>
        </w:tc>
        <w:tc>
          <w:tcPr>
            <w:tcW w:w="2127" w:type="dxa"/>
          </w:tcPr>
          <w:p w14:paraId="70BBAB14" w14:textId="77777777" w:rsidR="00E9418B" w:rsidRPr="002B3452" w:rsidRDefault="00E9418B" w:rsidP="00E9418B">
            <w:pPr>
              <w:widowControl w:val="0"/>
              <w:spacing w:before="60" w:after="60"/>
              <w:rPr>
                <w:snapToGrid w:val="0"/>
              </w:rPr>
            </w:pPr>
          </w:p>
        </w:tc>
      </w:tr>
      <w:tr w:rsidR="00E9418B" w:rsidRPr="002B3452" w14:paraId="2640029C" w14:textId="77777777" w:rsidTr="00DB4D56">
        <w:tc>
          <w:tcPr>
            <w:tcW w:w="3539" w:type="dxa"/>
            <w:vMerge w:val="restart"/>
          </w:tcPr>
          <w:p w14:paraId="7B9F44EE" w14:textId="3D8E483E" w:rsidR="00E9418B" w:rsidRPr="002B3452" w:rsidRDefault="00E9418B" w:rsidP="00E9418B">
            <w:pPr>
              <w:widowControl w:val="0"/>
              <w:spacing w:before="60" w:after="60"/>
              <w:rPr>
                <w:snapToGrid w:val="0"/>
              </w:rPr>
            </w:pPr>
            <w:r w:rsidRPr="004F3262">
              <w:rPr>
                <w:snapToGrid w:val="0"/>
              </w:rPr>
              <w:lastRenderedPageBreak/>
              <w:t>6. Fondo finansavimo praktikoje egzistuoja kelios sisteminės rizikos: sąmatų pagrįstumo vertinimas grindžiamas pareiškėjų subjektyviai deklaruotais skaičiavimais, sprendimai dėl projekto apimčių mažinimo nėra aiškiai reglamentuoti, o ekspertų ir Tarybos sprendimai priimami be iš anksto apibrėžtų, visiems vienodų ribų. Nors formaliai egzistuoja dvigubo finansavimo prevencija, praktikoje dėl tarpinstitucinių duomenų apsikeitimo ribotumo ir sisteminės kontrolės nebuvimo, valstybės lėšos skirstomos rizikuojant dubliuoti finansavimą tiems patiems projektams ar veikloms (</w:t>
            </w:r>
            <w:r w:rsidRPr="004F3262">
              <w:rPr>
                <w:i/>
                <w:iCs/>
                <w:snapToGrid w:val="0"/>
              </w:rPr>
              <w:t>žr. 4.5 skirsnio argumentus</w:t>
            </w:r>
            <w:r w:rsidRPr="004F3262">
              <w:rPr>
                <w:snapToGrid w:val="0"/>
              </w:rPr>
              <w:t>).</w:t>
            </w:r>
          </w:p>
        </w:tc>
        <w:tc>
          <w:tcPr>
            <w:tcW w:w="4111" w:type="dxa"/>
          </w:tcPr>
          <w:p w14:paraId="28244E55" w14:textId="5912658B" w:rsidR="00E9418B" w:rsidRPr="00544184" w:rsidRDefault="00E9418B" w:rsidP="00E9418B">
            <w:pPr>
              <w:spacing w:before="60" w:after="60"/>
              <w:jc w:val="both"/>
            </w:pPr>
            <w:r>
              <w:t>27. Sukurti bendrą valstybės ir savivaldybių biudžetų finansuojamų kultūros institucijų veiklos ir jų bei nevyriausybinių organizacijų teikiamų projektų informacinę sistemą, taip mažinant dvigubo finansavimo riziką.</w:t>
            </w:r>
          </w:p>
        </w:tc>
        <w:tc>
          <w:tcPr>
            <w:tcW w:w="5386" w:type="dxa"/>
          </w:tcPr>
          <w:p w14:paraId="7A8EFC14" w14:textId="371E6759" w:rsidR="00FE412F" w:rsidRDefault="00F9720B" w:rsidP="00FE412F">
            <w:pPr>
              <w:widowControl w:val="0"/>
            </w:pPr>
            <w:r w:rsidRPr="00F9720B">
              <w:rPr>
                <w:snapToGrid w:val="0"/>
              </w:rPr>
              <w:t>Kultūros ministerijos vertinimu</w:t>
            </w:r>
            <w:r>
              <w:rPr>
                <w:snapToGrid w:val="0"/>
              </w:rPr>
              <w:t xml:space="preserve"> p</w:t>
            </w:r>
            <w:r w:rsidR="00E9418B">
              <w:rPr>
                <w:snapToGrid w:val="0"/>
              </w:rPr>
              <w:t xml:space="preserve">asiūlymas kurti bendrą </w:t>
            </w:r>
            <w:r w:rsidR="00E9418B">
              <w:t xml:space="preserve">valstybės ir savivaldybių biudžetų finansuojamų kultūros institucijų veiklos ir jų bei nevyriausybinių organizacijų teikiamų projektų informacinę sistemą </w:t>
            </w:r>
            <w:r>
              <w:t>nėra</w:t>
            </w:r>
            <w:r w:rsidR="00E9418B">
              <w:t xml:space="preserve"> tikslingas jį vertinant </w:t>
            </w:r>
            <w:r w:rsidR="001773D6">
              <w:t xml:space="preserve">numatomos </w:t>
            </w:r>
            <w:r w:rsidR="00E9418B">
              <w:t xml:space="preserve">naudos ir </w:t>
            </w:r>
            <w:r w:rsidR="001773D6">
              <w:t xml:space="preserve">įgyvendinimo </w:t>
            </w:r>
            <w:r w:rsidR="00E9418B">
              <w:t>kaštų aspektu</w:t>
            </w:r>
            <w:r w:rsidR="001773D6">
              <w:t>. Pažymėtina, kad</w:t>
            </w:r>
            <w:r w:rsidR="00E9418B">
              <w:t xml:space="preserve"> naujos informacinės sistemos sukūrimas </w:t>
            </w:r>
            <w:r w:rsidR="00FE412F">
              <w:t>ir palaikymas</w:t>
            </w:r>
            <w:r w:rsidR="00E9418B">
              <w:t xml:space="preserve"> pareikalaut</w:t>
            </w:r>
            <w:r w:rsidR="00FE412F">
              <w:t>ų</w:t>
            </w:r>
            <w:r w:rsidR="00E9418B">
              <w:t xml:space="preserve"> </w:t>
            </w:r>
            <w:r w:rsidR="00FE412F" w:rsidRPr="00FE412F">
              <w:t xml:space="preserve"> reikšmingų valstybės biudžeto lėšų</w:t>
            </w:r>
            <w:r w:rsidR="00E9418B">
              <w:t>,</w:t>
            </w:r>
            <w:r w:rsidR="00FE412F" w:rsidRPr="00FE412F">
              <w:t xml:space="preserve"> o pagrindinis siekiamas rezultatas – dvigubo to paties projekto finansavimo iš skirtingų institucijų</w:t>
            </w:r>
            <w:r w:rsidR="00FE412F">
              <w:t xml:space="preserve"> </w:t>
            </w:r>
            <w:r w:rsidR="00FE412F" w:rsidRPr="00FE412F">
              <w:t>prevencija – galėtų būti užtikrinamas ir kitomis, mažesnių sąnaudų reikalaujančiomis priemonėmis.</w:t>
            </w:r>
          </w:p>
          <w:p w14:paraId="13DDCDB3" w14:textId="04A3D6AE" w:rsidR="00E9418B" w:rsidRPr="002B3452" w:rsidRDefault="001773D6" w:rsidP="00F647F5">
            <w:pPr>
              <w:widowControl w:val="0"/>
              <w:rPr>
                <w:snapToGrid w:val="0"/>
              </w:rPr>
            </w:pPr>
            <w:r w:rsidRPr="001773D6">
              <w:t>Šiuo metu dvigubo finansavimo rizikai valdyti jau taikom</w:t>
            </w:r>
            <w:r>
              <w:t>os</w:t>
            </w:r>
            <w:r w:rsidRPr="001773D6">
              <w:t xml:space="preserve"> įvair</w:t>
            </w:r>
            <w:r>
              <w:t>ios priemonės</w:t>
            </w:r>
            <w:r w:rsidR="00E9418B">
              <w:t>: institucijų bendradarbiavimo susitarimai, keitimasis informacija, papildoma duomenų analizė, projektų vykdymo stebėsena ir pan.</w:t>
            </w:r>
            <w:r w:rsidR="000B0107">
              <w:t xml:space="preserve"> Be kita ko, </w:t>
            </w:r>
            <w:r w:rsidR="00820FA7">
              <w:t xml:space="preserve">taip pat </w:t>
            </w:r>
            <w:r w:rsidR="000B0107">
              <w:t>numatoma</w:t>
            </w:r>
            <w:r w:rsidR="00820FA7">
              <w:t xml:space="preserve"> tolesnė</w:t>
            </w:r>
            <w:r w:rsidR="000B0107">
              <w:t xml:space="preserve"> nuosekli VIRSIS plėtra ir papildom</w:t>
            </w:r>
            <w:r w:rsidR="00820FA7">
              <w:t>ų</w:t>
            </w:r>
            <w:r w:rsidR="000B0107">
              <w:t xml:space="preserve"> integracin</w:t>
            </w:r>
            <w:r w:rsidR="00820FA7">
              <w:t>ių</w:t>
            </w:r>
            <w:r w:rsidR="000B0107">
              <w:t xml:space="preserve"> sąsaj</w:t>
            </w:r>
            <w:r w:rsidR="00820FA7">
              <w:t>ų diegimas</w:t>
            </w:r>
            <w:r w:rsidR="000B0107">
              <w:t>.</w:t>
            </w:r>
            <w:r w:rsidR="00F81E49">
              <w:t xml:space="preserve"> </w:t>
            </w:r>
            <w:r>
              <w:t>Kultūros m</w:t>
            </w:r>
            <w:r w:rsidRPr="001773D6">
              <w:t>inisterijos vertinimu, šių priemonių tobulinimas ir nuoseklus taikymas yra proporcingesnis bei ekonomiškai efektyvesnis būdas siekiamam tikslui pasiekti.</w:t>
            </w:r>
            <w:r>
              <w:t xml:space="preserve"> </w:t>
            </w:r>
            <w:r w:rsidR="00F81E49">
              <w:t>A</w:t>
            </w:r>
            <w:r w:rsidR="00E9418B">
              <w:t>tsižvelgdama į tai, Kultūros ministerija neplanuoja</w:t>
            </w:r>
            <w:r>
              <w:t xml:space="preserve"> įgyvendinti šio pasiūlymo</w:t>
            </w:r>
            <w:r w:rsidR="00E9418B">
              <w:t>.</w:t>
            </w:r>
          </w:p>
        </w:tc>
        <w:tc>
          <w:tcPr>
            <w:tcW w:w="2127" w:type="dxa"/>
          </w:tcPr>
          <w:p w14:paraId="3F29160F" w14:textId="77777777" w:rsidR="00E9418B" w:rsidRPr="002B3452" w:rsidRDefault="00E9418B" w:rsidP="00E9418B">
            <w:pPr>
              <w:widowControl w:val="0"/>
              <w:spacing w:before="60" w:after="60"/>
              <w:rPr>
                <w:snapToGrid w:val="0"/>
              </w:rPr>
            </w:pPr>
          </w:p>
        </w:tc>
      </w:tr>
      <w:tr w:rsidR="00E9418B" w:rsidRPr="002B3452" w14:paraId="43E2C402" w14:textId="77777777" w:rsidTr="00DB4D56">
        <w:tc>
          <w:tcPr>
            <w:tcW w:w="3539" w:type="dxa"/>
            <w:vMerge/>
          </w:tcPr>
          <w:p w14:paraId="01C83228" w14:textId="77777777" w:rsidR="00E9418B" w:rsidRPr="002B3452" w:rsidRDefault="00E9418B" w:rsidP="00E9418B">
            <w:pPr>
              <w:widowControl w:val="0"/>
              <w:spacing w:before="60" w:after="60"/>
              <w:rPr>
                <w:snapToGrid w:val="0"/>
              </w:rPr>
            </w:pPr>
          </w:p>
        </w:tc>
        <w:tc>
          <w:tcPr>
            <w:tcW w:w="4111" w:type="dxa"/>
          </w:tcPr>
          <w:p w14:paraId="7838CBD2" w14:textId="0AC26CAF" w:rsidR="00E9418B" w:rsidRPr="00895088" w:rsidRDefault="00E9418B" w:rsidP="00E9418B">
            <w:pPr>
              <w:spacing w:before="60" w:after="60"/>
              <w:jc w:val="both"/>
              <w:rPr>
                <w:snapToGrid w:val="0"/>
              </w:rPr>
            </w:pPr>
            <w:r>
              <w:t>28. Tobulinti teisinį reguliavimą šalinant neaiškumus dėl kultūros periodinių leidinių veiklos finansavimo sąlygose paminėtos išlygos dėl informacijos rengimo užsienio kalbomis.</w:t>
            </w:r>
          </w:p>
        </w:tc>
        <w:tc>
          <w:tcPr>
            <w:tcW w:w="5386" w:type="dxa"/>
          </w:tcPr>
          <w:p w14:paraId="67DB64D0" w14:textId="5A1969D3" w:rsidR="00792D2C" w:rsidRDefault="00792D2C" w:rsidP="00DB4D56">
            <w:pPr>
              <w:widowControl w:val="0"/>
              <w:spacing w:before="60" w:after="60"/>
              <w:rPr>
                <w:snapToGrid w:val="0"/>
              </w:rPr>
            </w:pPr>
            <w:r>
              <w:rPr>
                <w:snapToGrid w:val="0"/>
              </w:rPr>
              <w:t>Kultūros ministerija planuoja peržiūrėti ir patikslinti Taisykles (prireikus – ir Visuomenės informavimo įstatymą) šiuo aspektu:</w:t>
            </w:r>
          </w:p>
          <w:p w14:paraId="35F02656" w14:textId="0A9A988F" w:rsidR="00E9418B" w:rsidRPr="002B3452" w:rsidRDefault="00E9418B" w:rsidP="00DB4D56">
            <w:pPr>
              <w:widowControl w:val="0"/>
              <w:spacing w:before="60" w:after="60"/>
              <w:rPr>
                <w:snapToGrid w:val="0"/>
              </w:rPr>
            </w:pPr>
            <w:r>
              <w:rPr>
                <w:snapToGrid w:val="0"/>
              </w:rPr>
              <w:t xml:space="preserve">(28 pasiūlymui) – </w:t>
            </w:r>
            <w:r w:rsidR="00CA7CA8">
              <w:rPr>
                <w:snapToGrid w:val="0"/>
              </w:rPr>
              <w:t xml:space="preserve">peržiūrint ir patikslinant </w:t>
            </w:r>
            <w:r>
              <w:rPr>
                <w:snapToGrid w:val="0"/>
              </w:rPr>
              <w:t>veiklos finansavimo sąlygas</w:t>
            </w:r>
            <w:r w:rsidR="00DB4D56">
              <w:rPr>
                <w:snapToGrid w:val="0"/>
              </w:rPr>
              <w:t xml:space="preserve">, </w:t>
            </w:r>
            <w:r>
              <w:rPr>
                <w:snapToGrid w:val="0"/>
              </w:rPr>
              <w:t>siekiant išvengti netolygumų tarp mažųjų ir vidutinių žiniasklaidos organizacijų (redakcijų).</w:t>
            </w:r>
          </w:p>
        </w:tc>
        <w:tc>
          <w:tcPr>
            <w:tcW w:w="2127" w:type="dxa"/>
          </w:tcPr>
          <w:p w14:paraId="58FB8323" w14:textId="77777777" w:rsidR="00E9418B" w:rsidRPr="002B3452" w:rsidRDefault="00E9418B" w:rsidP="00E9418B">
            <w:pPr>
              <w:widowControl w:val="0"/>
              <w:spacing w:before="60" w:after="60"/>
              <w:rPr>
                <w:snapToGrid w:val="0"/>
              </w:rPr>
            </w:pPr>
          </w:p>
        </w:tc>
      </w:tr>
      <w:tr w:rsidR="0052446D" w:rsidRPr="002B3452" w14:paraId="7645EC04" w14:textId="77777777" w:rsidTr="009C7FF3">
        <w:tc>
          <w:tcPr>
            <w:tcW w:w="7650" w:type="dxa"/>
            <w:gridSpan w:val="2"/>
          </w:tcPr>
          <w:p w14:paraId="50A4F19C" w14:textId="77777777" w:rsidR="0052446D" w:rsidRDefault="0052446D" w:rsidP="00E9418B">
            <w:pPr>
              <w:spacing w:before="60" w:after="60"/>
              <w:jc w:val="both"/>
            </w:pPr>
          </w:p>
        </w:tc>
        <w:tc>
          <w:tcPr>
            <w:tcW w:w="5386" w:type="dxa"/>
          </w:tcPr>
          <w:p w14:paraId="62D5D3A6" w14:textId="14B72B49" w:rsidR="0052446D" w:rsidRDefault="0052446D" w:rsidP="00DB4D56">
            <w:pPr>
              <w:widowControl w:val="0"/>
              <w:spacing w:before="60" w:after="60"/>
              <w:rPr>
                <w:snapToGrid w:val="0"/>
              </w:rPr>
            </w:pPr>
            <w:r>
              <w:rPr>
                <w:snapToGrid w:val="0"/>
              </w:rPr>
              <w:t xml:space="preserve">Kultūros ministerija Taisyklių pakeitimus planuoja parengti ir patvirtinti: </w:t>
            </w:r>
            <w:r w:rsidRPr="00630D52">
              <w:rPr>
                <w:b/>
                <w:bCs/>
                <w:snapToGrid w:val="0"/>
              </w:rPr>
              <w:t>202</w:t>
            </w:r>
            <w:r w:rsidR="00F647F5">
              <w:rPr>
                <w:b/>
                <w:bCs/>
                <w:snapToGrid w:val="0"/>
              </w:rPr>
              <w:t>7</w:t>
            </w:r>
            <w:r w:rsidRPr="00630D52">
              <w:rPr>
                <w:b/>
                <w:bCs/>
                <w:snapToGrid w:val="0"/>
              </w:rPr>
              <w:t xml:space="preserve"> m. I </w:t>
            </w:r>
            <w:proofErr w:type="spellStart"/>
            <w:r w:rsidRPr="00630D52">
              <w:rPr>
                <w:b/>
                <w:bCs/>
                <w:snapToGrid w:val="0"/>
              </w:rPr>
              <w:t>ketv</w:t>
            </w:r>
            <w:proofErr w:type="spellEnd"/>
            <w:r w:rsidRPr="00630D52">
              <w:rPr>
                <w:b/>
                <w:bCs/>
                <w:snapToGrid w:val="0"/>
              </w:rPr>
              <w:t>.</w:t>
            </w:r>
          </w:p>
        </w:tc>
        <w:tc>
          <w:tcPr>
            <w:tcW w:w="2127" w:type="dxa"/>
          </w:tcPr>
          <w:p w14:paraId="40256950" w14:textId="77777777" w:rsidR="0052446D" w:rsidRPr="002B3452" w:rsidRDefault="0052446D" w:rsidP="00E9418B">
            <w:pPr>
              <w:widowControl w:val="0"/>
              <w:spacing w:before="60" w:after="60"/>
              <w:rPr>
                <w:snapToGrid w:val="0"/>
              </w:rPr>
            </w:pPr>
          </w:p>
        </w:tc>
      </w:tr>
      <w:tr w:rsidR="00E9418B" w:rsidRPr="002B3452" w14:paraId="22959D72" w14:textId="77777777" w:rsidTr="005831A8">
        <w:tc>
          <w:tcPr>
            <w:tcW w:w="15163" w:type="dxa"/>
            <w:gridSpan w:val="4"/>
          </w:tcPr>
          <w:p w14:paraId="7D0421E7" w14:textId="77777777" w:rsidR="00E9418B" w:rsidRPr="008F1D8D" w:rsidRDefault="00E9418B" w:rsidP="00E9418B">
            <w:pPr>
              <w:pStyle w:val="ListParagraph"/>
              <w:widowControl w:val="0"/>
              <w:numPr>
                <w:ilvl w:val="0"/>
                <w:numId w:val="1"/>
              </w:numPr>
              <w:spacing w:before="60" w:after="60"/>
              <w:jc w:val="center"/>
              <w:rPr>
                <w:i/>
                <w:snapToGrid w:val="0"/>
              </w:rPr>
            </w:pPr>
            <w:r w:rsidRPr="008F1D8D">
              <w:rPr>
                <w:i/>
                <w:snapToGrid w:val="0"/>
              </w:rPr>
              <w:lastRenderedPageBreak/>
              <w:t>Kitos antikorupcinės pastabos</w:t>
            </w:r>
          </w:p>
        </w:tc>
      </w:tr>
      <w:tr w:rsidR="00E9418B" w:rsidRPr="002B3452" w14:paraId="5F7D1D8A" w14:textId="77777777" w:rsidTr="00DB4D56">
        <w:tc>
          <w:tcPr>
            <w:tcW w:w="3539" w:type="dxa"/>
          </w:tcPr>
          <w:p w14:paraId="60C5E213" w14:textId="30B77503" w:rsidR="00E9418B" w:rsidRPr="002B3452" w:rsidRDefault="00E9418B" w:rsidP="00E9418B">
            <w:pPr>
              <w:widowControl w:val="0"/>
              <w:spacing w:before="60" w:after="60"/>
              <w:jc w:val="center"/>
              <w:rPr>
                <w:snapToGrid w:val="0"/>
              </w:rPr>
            </w:pPr>
            <w:r>
              <w:rPr>
                <w:snapToGrid w:val="0"/>
              </w:rPr>
              <w:t>Nepateikta.</w:t>
            </w:r>
          </w:p>
        </w:tc>
        <w:tc>
          <w:tcPr>
            <w:tcW w:w="4111" w:type="dxa"/>
          </w:tcPr>
          <w:p w14:paraId="227ECD91" w14:textId="3BB02584" w:rsidR="00E9418B" w:rsidRPr="002B3452" w:rsidRDefault="00E9418B" w:rsidP="00E9418B">
            <w:pPr>
              <w:widowControl w:val="0"/>
              <w:spacing w:before="60" w:after="60"/>
              <w:jc w:val="center"/>
              <w:rPr>
                <w:snapToGrid w:val="0"/>
              </w:rPr>
            </w:pPr>
            <w:r w:rsidRPr="00B6130C">
              <w:rPr>
                <w:snapToGrid w:val="0"/>
              </w:rPr>
              <w:t>––––––––––</w:t>
            </w:r>
          </w:p>
        </w:tc>
        <w:tc>
          <w:tcPr>
            <w:tcW w:w="5386" w:type="dxa"/>
          </w:tcPr>
          <w:p w14:paraId="75A10545" w14:textId="4DF1F0CD" w:rsidR="00E9418B" w:rsidRPr="002B3452" w:rsidRDefault="00E9418B" w:rsidP="00E9418B">
            <w:pPr>
              <w:widowControl w:val="0"/>
              <w:spacing w:before="60" w:after="60"/>
              <w:jc w:val="center"/>
              <w:rPr>
                <w:snapToGrid w:val="0"/>
              </w:rPr>
            </w:pPr>
            <w:r w:rsidRPr="00B6130C">
              <w:rPr>
                <w:snapToGrid w:val="0"/>
              </w:rPr>
              <w:t>––––––––––</w:t>
            </w:r>
          </w:p>
        </w:tc>
        <w:tc>
          <w:tcPr>
            <w:tcW w:w="2127" w:type="dxa"/>
          </w:tcPr>
          <w:p w14:paraId="3D5420DA" w14:textId="54DAB06C" w:rsidR="00E9418B" w:rsidRPr="002B3452" w:rsidRDefault="00E9418B" w:rsidP="00E9418B">
            <w:pPr>
              <w:widowControl w:val="0"/>
              <w:spacing w:before="60" w:after="60"/>
              <w:jc w:val="center"/>
              <w:rPr>
                <w:snapToGrid w:val="0"/>
              </w:rPr>
            </w:pPr>
            <w:r w:rsidRPr="00B6130C">
              <w:rPr>
                <w:snapToGrid w:val="0"/>
              </w:rPr>
              <w:t>––––––––––</w:t>
            </w:r>
          </w:p>
        </w:tc>
      </w:tr>
      <w:tr w:rsidR="00E9418B" w:rsidRPr="002B3452" w14:paraId="6A3D74DF" w14:textId="77777777" w:rsidTr="005831A8">
        <w:tc>
          <w:tcPr>
            <w:tcW w:w="15163" w:type="dxa"/>
            <w:gridSpan w:val="4"/>
          </w:tcPr>
          <w:p w14:paraId="1226815D" w14:textId="77777777" w:rsidR="00E9418B" w:rsidRPr="008F1D8D" w:rsidRDefault="00E9418B" w:rsidP="00E9418B">
            <w:pPr>
              <w:pStyle w:val="ListParagraph"/>
              <w:widowControl w:val="0"/>
              <w:numPr>
                <w:ilvl w:val="0"/>
                <w:numId w:val="1"/>
              </w:numPr>
              <w:spacing w:before="60" w:after="60"/>
              <w:jc w:val="center"/>
              <w:rPr>
                <w:i/>
                <w:snapToGrid w:val="0"/>
              </w:rPr>
            </w:pPr>
            <w:r w:rsidRPr="008F1D8D">
              <w:rPr>
                <w:i/>
                <w:snapToGrid w:val="0"/>
              </w:rPr>
              <w:t>Kitos pastabos</w:t>
            </w:r>
          </w:p>
        </w:tc>
      </w:tr>
      <w:tr w:rsidR="00E9418B" w:rsidRPr="002B3452" w14:paraId="164F2D41" w14:textId="77777777" w:rsidTr="00DB4D56">
        <w:tc>
          <w:tcPr>
            <w:tcW w:w="3539" w:type="dxa"/>
          </w:tcPr>
          <w:p w14:paraId="52B96FAB" w14:textId="2B3C3B5A" w:rsidR="00E9418B" w:rsidRPr="002B3452" w:rsidRDefault="00E9418B" w:rsidP="00E9418B">
            <w:pPr>
              <w:widowControl w:val="0"/>
              <w:spacing w:before="60" w:after="60"/>
              <w:jc w:val="center"/>
              <w:rPr>
                <w:snapToGrid w:val="0"/>
              </w:rPr>
            </w:pPr>
            <w:r>
              <w:rPr>
                <w:snapToGrid w:val="0"/>
              </w:rPr>
              <w:t>Nepateikta.</w:t>
            </w:r>
          </w:p>
        </w:tc>
        <w:tc>
          <w:tcPr>
            <w:tcW w:w="4111" w:type="dxa"/>
          </w:tcPr>
          <w:p w14:paraId="2EFDD91A" w14:textId="50D751A2" w:rsidR="00E9418B" w:rsidRPr="002B3452" w:rsidRDefault="00E9418B" w:rsidP="00E9418B">
            <w:pPr>
              <w:widowControl w:val="0"/>
              <w:spacing w:before="60" w:after="60"/>
              <w:jc w:val="center"/>
              <w:rPr>
                <w:snapToGrid w:val="0"/>
              </w:rPr>
            </w:pPr>
            <w:r w:rsidRPr="00B6130C">
              <w:rPr>
                <w:snapToGrid w:val="0"/>
              </w:rPr>
              <w:t>––––––––––</w:t>
            </w:r>
          </w:p>
        </w:tc>
        <w:tc>
          <w:tcPr>
            <w:tcW w:w="5386" w:type="dxa"/>
          </w:tcPr>
          <w:p w14:paraId="5B7E7616" w14:textId="513EBB7A" w:rsidR="00E9418B" w:rsidRPr="002B3452" w:rsidRDefault="00E9418B" w:rsidP="00E9418B">
            <w:pPr>
              <w:widowControl w:val="0"/>
              <w:spacing w:before="60" w:after="60"/>
              <w:jc w:val="center"/>
              <w:rPr>
                <w:snapToGrid w:val="0"/>
              </w:rPr>
            </w:pPr>
            <w:r w:rsidRPr="00B6130C">
              <w:rPr>
                <w:snapToGrid w:val="0"/>
              </w:rPr>
              <w:t>––––––––––</w:t>
            </w:r>
          </w:p>
        </w:tc>
        <w:tc>
          <w:tcPr>
            <w:tcW w:w="2127" w:type="dxa"/>
          </w:tcPr>
          <w:p w14:paraId="1D851A50" w14:textId="26656D49" w:rsidR="00E9418B" w:rsidRPr="002B3452" w:rsidRDefault="00E9418B" w:rsidP="00E9418B">
            <w:pPr>
              <w:widowControl w:val="0"/>
              <w:spacing w:before="60" w:after="60"/>
              <w:jc w:val="center"/>
              <w:rPr>
                <w:snapToGrid w:val="0"/>
              </w:rPr>
            </w:pPr>
            <w:r w:rsidRPr="00B6130C">
              <w:rPr>
                <w:snapToGrid w:val="0"/>
              </w:rPr>
              <w:t>––––––––––</w:t>
            </w:r>
          </w:p>
        </w:tc>
      </w:tr>
    </w:tbl>
    <w:p w14:paraId="4B5C8188" w14:textId="77777777" w:rsidR="0034418E" w:rsidRDefault="0034418E" w:rsidP="00741141">
      <w:pPr>
        <w:spacing w:line="360" w:lineRule="auto"/>
        <w:rPr>
          <w:lang w:eastAsia="en-US"/>
        </w:rPr>
      </w:pPr>
    </w:p>
    <w:p w14:paraId="711CD6BD" w14:textId="14115DDE" w:rsidR="000C5806" w:rsidRDefault="0034418E" w:rsidP="0034418E">
      <w:pPr>
        <w:jc w:val="center"/>
      </w:pPr>
      <w:r>
        <w:t>________</w:t>
      </w:r>
      <w:r w:rsidR="00741141">
        <w:t>__________</w:t>
      </w:r>
      <w:r>
        <w:t>____</w:t>
      </w:r>
    </w:p>
    <w:sectPr w:rsidR="000C5806" w:rsidSect="005831A8">
      <w:footnotePr>
        <w:numFmt w:val="chicago"/>
      </w:footnotePr>
      <w:pgSz w:w="16838" w:h="11906" w:orient="landscape"/>
      <w:pgMar w:top="1134" w:right="851"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588C0" w14:textId="77777777" w:rsidR="00126D44" w:rsidRDefault="00126D44" w:rsidP="00694944">
      <w:r>
        <w:separator/>
      </w:r>
    </w:p>
  </w:endnote>
  <w:endnote w:type="continuationSeparator" w:id="0">
    <w:p w14:paraId="6DB65297" w14:textId="77777777" w:rsidR="00126D44" w:rsidRDefault="00126D44"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12F9" w14:textId="77777777" w:rsidR="00126D44" w:rsidRDefault="00126D44" w:rsidP="00694944">
      <w:r>
        <w:separator/>
      </w:r>
    </w:p>
  </w:footnote>
  <w:footnote w:type="continuationSeparator" w:id="0">
    <w:p w14:paraId="06DBA8CE" w14:textId="77777777" w:rsidR="00126D44" w:rsidRDefault="00126D44" w:rsidP="00694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15AC1"/>
    <w:multiLevelType w:val="hybridMultilevel"/>
    <w:tmpl w:val="C7E2A67E"/>
    <w:lvl w:ilvl="0" w:tplc="A2DECA62">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618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4C02"/>
    <w:rsid w:val="00040139"/>
    <w:rsid w:val="000445B5"/>
    <w:rsid w:val="000744CE"/>
    <w:rsid w:val="000B0107"/>
    <w:rsid w:val="000C5806"/>
    <w:rsid w:val="000D63E8"/>
    <w:rsid w:val="000F042A"/>
    <w:rsid w:val="00126D44"/>
    <w:rsid w:val="001773D6"/>
    <w:rsid w:val="001820B6"/>
    <w:rsid w:val="001D4B3E"/>
    <w:rsid w:val="00202C6D"/>
    <w:rsid w:val="00205E41"/>
    <w:rsid w:val="00226298"/>
    <w:rsid w:val="00230D1D"/>
    <w:rsid w:val="00247166"/>
    <w:rsid w:val="00270C62"/>
    <w:rsid w:val="00283113"/>
    <w:rsid w:val="00296313"/>
    <w:rsid w:val="002A1711"/>
    <w:rsid w:val="002C4EE9"/>
    <w:rsid w:val="002E6C6C"/>
    <w:rsid w:val="003029DC"/>
    <w:rsid w:val="00317C2F"/>
    <w:rsid w:val="00326753"/>
    <w:rsid w:val="0033730F"/>
    <w:rsid w:val="0034418E"/>
    <w:rsid w:val="0037500E"/>
    <w:rsid w:val="003826DC"/>
    <w:rsid w:val="00383F51"/>
    <w:rsid w:val="0038491B"/>
    <w:rsid w:val="003E50E6"/>
    <w:rsid w:val="003E7DC1"/>
    <w:rsid w:val="003F4FB5"/>
    <w:rsid w:val="00442AB7"/>
    <w:rsid w:val="00466A62"/>
    <w:rsid w:val="004818D2"/>
    <w:rsid w:val="004C04EC"/>
    <w:rsid w:val="004F3262"/>
    <w:rsid w:val="00514B5F"/>
    <w:rsid w:val="0052446D"/>
    <w:rsid w:val="00544184"/>
    <w:rsid w:val="005548F1"/>
    <w:rsid w:val="005831A8"/>
    <w:rsid w:val="00590EE3"/>
    <w:rsid w:val="005B04DF"/>
    <w:rsid w:val="005C00BE"/>
    <w:rsid w:val="005D4659"/>
    <w:rsid w:val="005E1894"/>
    <w:rsid w:val="005E1B6D"/>
    <w:rsid w:val="00625300"/>
    <w:rsid w:val="00630D52"/>
    <w:rsid w:val="006700B4"/>
    <w:rsid w:val="00694944"/>
    <w:rsid w:val="006970D1"/>
    <w:rsid w:val="006E3AB6"/>
    <w:rsid w:val="00710319"/>
    <w:rsid w:val="00736FC6"/>
    <w:rsid w:val="00741141"/>
    <w:rsid w:val="0075224C"/>
    <w:rsid w:val="00754B8C"/>
    <w:rsid w:val="00792D2C"/>
    <w:rsid w:val="00820FA7"/>
    <w:rsid w:val="008254FD"/>
    <w:rsid w:val="008323BC"/>
    <w:rsid w:val="008456FD"/>
    <w:rsid w:val="00857A73"/>
    <w:rsid w:val="00880C97"/>
    <w:rsid w:val="00895088"/>
    <w:rsid w:val="008F6DF3"/>
    <w:rsid w:val="009374B9"/>
    <w:rsid w:val="009A5A5F"/>
    <w:rsid w:val="009F1A54"/>
    <w:rsid w:val="009F470A"/>
    <w:rsid w:val="00A0203E"/>
    <w:rsid w:val="00A4109F"/>
    <w:rsid w:val="00A72329"/>
    <w:rsid w:val="00AC373E"/>
    <w:rsid w:val="00AD186B"/>
    <w:rsid w:val="00AF0532"/>
    <w:rsid w:val="00B2318E"/>
    <w:rsid w:val="00B36BC0"/>
    <w:rsid w:val="00B37E20"/>
    <w:rsid w:val="00B6130C"/>
    <w:rsid w:val="00B85DA1"/>
    <w:rsid w:val="00B87232"/>
    <w:rsid w:val="00B964A1"/>
    <w:rsid w:val="00BB25B5"/>
    <w:rsid w:val="00BB32CD"/>
    <w:rsid w:val="00BF1D77"/>
    <w:rsid w:val="00BF35B6"/>
    <w:rsid w:val="00C118CC"/>
    <w:rsid w:val="00C35AE8"/>
    <w:rsid w:val="00C53629"/>
    <w:rsid w:val="00C602B0"/>
    <w:rsid w:val="00C80C3F"/>
    <w:rsid w:val="00C81301"/>
    <w:rsid w:val="00C94E9A"/>
    <w:rsid w:val="00C97FD2"/>
    <w:rsid w:val="00CA3A4D"/>
    <w:rsid w:val="00CA5A07"/>
    <w:rsid w:val="00CA7CA8"/>
    <w:rsid w:val="00CE10A9"/>
    <w:rsid w:val="00D07F3C"/>
    <w:rsid w:val="00D51020"/>
    <w:rsid w:val="00D54DBD"/>
    <w:rsid w:val="00DA7A79"/>
    <w:rsid w:val="00DB4D56"/>
    <w:rsid w:val="00E20495"/>
    <w:rsid w:val="00E47088"/>
    <w:rsid w:val="00E9418B"/>
    <w:rsid w:val="00EF068B"/>
    <w:rsid w:val="00EF2C24"/>
    <w:rsid w:val="00EF659F"/>
    <w:rsid w:val="00EF7971"/>
    <w:rsid w:val="00F35E90"/>
    <w:rsid w:val="00F63D7E"/>
    <w:rsid w:val="00F647F5"/>
    <w:rsid w:val="00F704D8"/>
    <w:rsid w:val="00F81E49"/>
    <w:rsid w:val="00F9720B"/>
    <w:rsid w:val="00FE4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94944"/>
    <w:rPr>
      <w:rFonts w:ascii="Arial" w:eastAsia="Calibri" w:hAnsi="Arial"/>
      <w:sz w:val="20"/>
      <w:szCs w:val="20"/>
    </w:rPr>
  </w:style>
  <w:style w:type="character" w:customStyle="1" w:styleId="FootnoteTextChar">
    <w:name w:val="Footnote Text Char"/>
    <w:basedOn w:val="DefaultParagraphFont"/>
    <w:link w:val="FootnoteText"/>
    <w:uiPriority w:val="99"/>
    <w:rsid w:val="00694944"/>
    <w:rPr>
      <w:rFonts w:ascii="Arial" w:eastAsia="Calibri" w:hAnsi="Arial" w:cs="Times New Roman"/>
      <w:sz w:val="20"/>
      <w:szCs w:val="20"/>
      <w:lang w:eastAsia="lt-LT"/>
    </w:rPr>
  </w:style>
  <w:style w:type="character" w:styleId="FootnoteReference">
    <w:name w:val="footnote reference"/>
    <w:uiPriority w:val="99"/>
    <w:rsid w:val="00694944"/>
    <w:rPr>
      <w:rFonts w:cs="Times New Roman"/>
      <w:vertAlign w:val="superscript"/>
    </w:rPr>
  </w:style>
  <w:style w:type="table" w:styleId="TableGrid">
    <w:name w:val="Table Grid"/>
    <w:basedOn w:val="TableNorma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37500E"/>
    <w:pPr>
      <w:ind w:left="720"/>
      <w:contextualSpacing/>
    </w:pPr>
    <w:rPr>
      <w:szCs w:val="20"/>
      <w:lang w:eastAsia="en-US"/>
    </w:rPr>
  </w:style>
  <w:style w:type="paragraph" w:styleId="Revision">
    <w:name w:val="Revision"/>
    <w:hidden/>
    <w:uiPriority w:val="99"/>
    <w:semiHidden/>
    <w:rsid w:val="00F9720B"/>
    <w:pPr>
      <w:spacing w:line="240" w:lineRule="auto"/>
      <w:ind w:firstLine="0"/>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820FA7"/>
    <w:rPr>
      <w:sz w:val="16"/>
      <w:szCs w:val="16"/>
    </w:rPr>
  </w:style>
  <w:style w:type="paragraph" w:styleId="CommentText">
    <w:name w:val="annotation text"/>
    <w:basedOn w:val="Normal"/>
    <w:link w:val="CommentTextChar"/>
    <w:uiPriority w:val="99"/>
    <w:unhideWhenUsed/>
    <w:rsid w:val="00820FA7"/>
    <w:rPr>
      <w:sz w:val="20"/>
      <w:szCs w:val="20"/>
    </w:rPr>
  </w:style>
  <w:style w:type="character" w:customStyle="1" w:styleId="CommentTextChar">
    <w:name w:val="Comment Text Char"/>
    <w:basedOn w:val="DefaultParagraphFont"/>
    <w:link w:val="CommentText"/>
    <w:uiPriority w:val="99"/>
    <w:rsid w:val="00820FA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20FA7"/>
    <w:rPr>
      <w:b/>
      <w:bCs/>
    </w:rPr>
  </w:style>
  <w:style w:type="character" w:customStyle="1" w:styleId="CommentSubjectChar">
    <w:name w:val="Comment Subject Char"/>
    <w:basedOn w:val="CommentTextChar"/>
    <w:link w:val="CommentSubject"/>
    <w:uiPriority w:val="99"/>
    <w:semiHidden/>
    <w:rsid w:val="00820FA7"/>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282B-82C2-4E08-913C-FBD77C7A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8057</Words>
  <Characters>4594</Characters>
  <Application>Microsoft Office Word</Application>
  <DocSecurity>4</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Ingrida Klišauskienė</cp:lastModifiedBy>
  <cp:revision>2</cp:revision>
  <dcterms:created xsi:type="dcterms:W3CDTF">2026-06-18T12:16:00Z</dcterms:created>
  <dcterms:modified xsi:type="dcterms:W3CDTF">2026-06-18T12:16:00Z</dcterms:modified>
</cp:coreProperties>
</file>