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630678" w:rsidRPr="00FC095F" w14:paraId="58D4956B" w14:textId="77777777" w:rsidTr="00A11CD9">
        <w:trPr>
          <w:cantSplit/>
        </w:trPr>
        <w:tc>
          <w:tcPr>
            <w:tcW w:w="9638" w:type="dxa"/>
          </w:tcPr>
          <w:bookmarkStart w:id="0" w:name="_MON_1052823171"/>
          <w:bookmarkEnd w:id="0"/>
          <w:p w14:paraId="428F4421" w14:textId="77777777" w:rsidR="00630678" w:rsidRPr="00FC095F" w:rsidRDefault="00630678" w:rsidP="00A11CD9">
            <w:pPr>
              <w:widowControl w:val="0"/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095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C1DF66" wp14:editId="6EA446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28597696" name="Rectangle 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97BBD" id="Rectangl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oCyqzgEAAJMDAAAOAAAAZHJzL2Uyb0RvYy54bWysU9tu2zAMfR+wfxD0vtjJ0m4z4hRFiw4D uguQ9QMUWYqF2aJGKnGyrx8lJ2mwvhV7EUhRPjw8PF7c7PtO7AySA1/L6aSUwngNjfObWj79fHj3 UQqKyjeqA29qeTAkb5Zv3yyGUJkZtNA1BgWDeKqGUMs2xlAVBenW9IomEIznogXsVeQUN0WDamD0 vitmZXldDIBNQNCGiG/vx6JcZnxrjY7frSUTRVdL5hbziflcp7NYLlS1QRVap4801CtY9Mp5bnqG uldRiS26F1C90wgENk409AVY67TJM/A00/KfaVatCibPwuJQOMtE/w9Wf9utwg9M1Ck8gv5FwsPK dCwcr1NyctcqvzG3FF5cIcLQGtUwnWkSshgCVWfAlBBDi/XwFRpevdpGyBrtLfapIU8v9nkVh/Mq zD4KzZfX76/KkhemuXSMUwdVnT4OSPGzgV6koJbI7DK42j1SHJ+enqReHh5c151IJl7JIlStoTkw R4TRGexkDlrAP1IM7Ipa0u+tQiNF98XznJ+m83myUU7mVx9mnOBlZX1ZUV4zVC2jFGN4F0frbQO6 TZsVHsndsjbWZd7PrI6K8ubz5EeXJmtd5vnV87+0/AsAAP//AwBQSwMEFAAGAAgAAAAhAIZbh9XY AAAABQEAAA8AAABkcnMvZG93bnJldi54bWxMj0FLw0AQhe9C/8Mygje7axEpMZsihfZQpdC0vW+z YxLMzsbsNl3/vVMR9DLM4w1vvpcvkuvEiENoPWl4mCoQSJW3LdUaDvvV/RxEiIas6Tyhhi8MsCgm N7nJrL/QDscy1oJDKGRGQxNjn0kZqgadCVPfI7H37gdnIsuhlnYwFw53nZwp9SSdaYk/NKbHZYPV R3l2Go7bdrP5nL+tlzGtX2fb5Mdy96j13W16eQYRMcW/Y7jiMzoUzHTyZ7JBdBq4SPyZV08plqff RRa5/E9ffAMAAP//AwBQSwECLQAUAAYACAAAACEAtoM4kv4AAADhAQAAEwAAAAAAAAAAAAAAAAAA AAAAW0NvbnRlbnRfVHlwZXNdLnhtbFBLAQItABQABgAIAAAAIQA4/SH/1gAAAJQBAAALAAAAAAAA AAAAAAAAAC8BAABfcmVscy8ucmVsc1BLAQItABQABgAIAAAAIQAaoCyqzgEAAJMDAAAOAAAAAAAA AAAAAAAAAC4CAABkcnMvZTJvRG9jLnhtbFBLAQItABQABgAIAAAAIQCGW4fV2AAAAAUBAAAPAAAA AAAAAAAAAAAAACgEAABkcnMvZG93bnJldi54bWxQSwUGAAAAAAQABADzAAAALQUAAAAA " filled="f" stroked="f">
                      <o:lock v:ext="edit" aspectratio="t" selection="t"/>
                    </v:rect>
                  </w:pict>
                </mc:Fallback>
              </mc:AlternateContent>
            </w:r>
            <w:r w:rsidRPr="00FC09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object w:dxaOrig="780" w:dyaOrig="900" w14:anchorId="4FDF3F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9pt;height:45pt;visibility:visible;mso-wrap-distance-right:0" o:ole="">
                  <v:imagedata r:id="rId5" o:title=""/>
                </v:shape>
                <o:OLEObject Type="Embed" ProgID="Word.Picture.8" ShapeID="ole_rId2" DrawAspect="Content" ObjectID="_1816163614" r:id="rId6"/>
              </w:object>
            </w:r>
          </w:p>
          <w:p w14:paraId="0D35824E" w14:textId="77777777" w:rsidR="00630678" w:rsidRPr="00FC095F" w:rsidRDefault="00630678" w:rsidP="00A11CD9">
            <w:pPr>
              <w:widowControl w:val="0"/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</w:p>
        </w:tc>
      </w:tr>
      <w:tr w:rsidR="00630678" w:rsidRPr="00FC095F" w14:paraId="1CA8B16F" w14:textId="77777777" w:rsidTr="00A11CD9">
        <w:trPr>
          <w:cantSplit/>
        </w:trPr>
        <w:tc>
          <w:tcPr>
            <w:tcW w:w="9638" w:type="dxa"/>
          </w:tcPr>
          <w:p w14:paraId="6E7514B7" w14:textId="77777777" w:rsidR="00630678" w:rsidRPr="00FC095F" w:rsidRDefault="00630678" w:rsidP="00A11CD9">
            <w:pPr>
              <w:keepNext/>
              <w:widowControl w:val="0"/>
              <w:suppressAutoHyphens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FC0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  <w:t>LIETUVOS RESPUBLIKOS KULTŪROS MINISTRAS</w:t>
            </w:r>
          </w:p>
        </w:tc>
      </w:tr>
      <w:tr w:rsidR="00630678" w:rsidRPr="00FC095F" w14:paraId="6D0C7C0D" w14:textId="77777777" w:rsidTr="00A11CD9">
        <w:trPr>
          <w:cantSplit/>
        </w:trPr>
        <w:tc>
          <w:tcPr>
            <w:tcW w:w="9638" w:type="dxa"/>
          </w:tcPr>
          <w:p w14:paraId="0EABBA08" w14:textId="77777777" w:rsidR="00630678" w:rsidRPr="00FC095F" w:rsidRDefault="00630678" w:rsidP="00A11CD9">
            <w:pPr>
              <w:keepNext/>
              <w:widowControl w:val="0"/>
              <w:suppressAutoHyphens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</w:p>
        </w:tc>
      </w:tr>
      <w:tr w:rsidR="00630678" w:rsidRPr="00FC095F" w14:paraId="0017B08A" w14:textId="77777777" w:rsidTr="00A11CD9">
        <w:trPr>
          <w:cantSplit/>
        </w:trPr>
        <w:tc>
          <w:tcPr>
            <w:tcW w:w="9638" w:type="dxa"/>
          </w:tcPr>
          <w:p w14:paraId="12FFF2F1" w14:textId="77777777" w:rsidR="00630678" w:rsidRPr="00FC095F" w:rsidRDefault="00630678" w:rsidP="00A11CD9">
            <w:pPr>
              <w:keepNext/>
              <w:widowControl w:val="0"/>
              <w:suppressAutoHyphens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FC0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  <w:t>ĮSAKYMAS</w:t>
            </w:r>
          </w:p>
        </w:tc>
      </w:tr>
      <w:tr w:rsidR="00630678" w:rsidRPr="00FC095F" w14:paraId="0DCA8BFD" w14:textId="77777777" w:rsidTr="00A11CD9">
        <w:trPr>
          <w:cantSplit/>
          <w:trHeight w:val="585"/>
        </w:trPr>
        <w:tc>
          <w:tcPr>
            <w:tcW w:w="9638" w:type="dxa"/>
          </w:tcPr>
          <w:p w14:paraId="27DC5F52" w14:textId="33C49BAC" w:rsidR="00630678" w:rsidRPr="00FC095F" w:rsidRDefault="00630678" w:rsidP="00A11CD9">
            <w:pPr>
              <w:widowControl w:val="0"/>
              <w:tabs>
                <w:tab w:val="left" w:pos="1488"/>
              </w:tabs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</w:pPr>
            <w:r w:rsidRPr="00FC095F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  <w:t>DĖL 202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  <w:t>5</w:t>
            </w:r>
            <w:r w:rsidRPr="00FC095F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  <w:t>Birželio</w:t>
            </w:r>
            <w:r w:rsidRPr="00FC095F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4"/>
                <w14:ligatures w14:val="none"/>
              </w:rPr>
              <w:t xml:space="preserve"> MĖN. KVIETIMO KULTŪROS IR MENO PASLAUGŲ ĮTRAUKIMO Į KULTŪROS PASO PASLAUGŲ RINKINĮ PATVIRTINIMO</w:t>
            </w:r>
          </w:p>
          <w:p w14:paraId="4C41A7AE" w14:textId="77777777" w:rsidR="00630678" w:rsidRPr="00FC095F" w:rsidRDefault="00630678" w:rsidP="00A11CD9">
            <w:pPr>
              <w:widowControl w:val="0"/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</w:p>
        </w:tc>
      </w:tr>
      <w:tr w:rsidR="00630678" w:rsidRPr="00FC095F" w14:paraId="1491EFB0" w14:textId="77777777" w:rsidTr="00A11CD9">
        <w:trPr>
          <w:cantSplit/>
        </w:trPr>
        <w:tc>
          <w:tcPr>
            <w:tcW w:w="9638" w:type="dxa"/>
          </w:tcPr>
          <w:p w14:paraId="2E693138" w14:textId="383A6A7D" w:rsidR="00630678" w:rsidRPr="00FC095F" w:rsidRDefault="00630678" w:rsidP="00A11CD9">
            <w:pPr>
              <w:widowControl w:val="0"/>
              <w:tabs>
                <w:tab w:val="left" w:pos="198"/>
                <w:tab w:val="left" w:pos="2126"/>
                <w:tab w:val="left" w:pos="2977"/>
              </w:tabs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09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FC09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m. rugpjūčio </w:t>
            </w:r>
            <w:r w:rsidRPr="00FC09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d. Nr. ĮV-</w:t>
            </w:r>
          </w:p>
        </w:tc>
      </w:tr>
      <w:tr w:rsidR="00630678" w:rsidRPr="00FC095F" w14:paraId="7AE039E6" w14:textId="77777777" w:rsidTr="00A11CD9">
        <w:trPr>
          <w:cantSplit/>
        </w:trPr>
        <w:tc>
          <w:tcPr>
            <w:tcW w:w="9638" w:type="dxa"/>
          </w:tcPr>
          <w:p w14:paraId="3DA4EB36" w14:textId="77777777" w:rsidR="00630678" w:rsidRPr="00FC095F" w:rsidRDefault="00630678" w:rsidP="00A11CD9">
            <w:pPr>
              <w:widowControl w:val="0"/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09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Vilnius</w:t>
            </w:r>
          </w:p>
        </w:tc>
      </w:tr>
      <w:tr w:rsidR="00630678" w:rsidRPr="00FC095F" w14:paraId="12DA98BA" w14:textId="77777777" w:rsidTr="00A11CD9">
        <w:trPr>
          <w:cantSplit/>
        </w:trPr>
        <w:tc>
          <w:tcPr>
            <w:tcW w:w="9638" w:type="dxa"/>
          </w:tcPr>
          <w:p w14:paraId="071A311B" w14:textId="77777777" w:rsidR="00630678" w:rsidRPr="00FC095F" w:rsidRDefault="00630678" w:rsidP="00A11CD9">
            <w:pPr>
              <w:widowControl w:val="0"/>
              <w:suppressAutoHyphens/>
              <w:ind w:left="0"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14:ligatures w14:val="none"/>
              </w:rPr>
            </w:pPr>
          </w:p>
        </w:tc>
      </w:tr>
    </w:tbl>
    <w:p w14:paraId="6721C8B9" w14:textId="77777777" w:rsidR="00630678" w:rsidRPr="00FC095F" w:rsidRDefault="00630678" w:rsidP="00630678">
      <w:pPr>
        <w:suppressAutoHyphens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1E410B" w14:textId="55D47FC3" w:rsidR="00630678" w:rsidRPr="00FC095F" w:rsidRDefault="00630678" w:rsidP="00630678">
      <w:pPr>
        <w:suppressAutoHyphens/>
        <w:spacing w:line="360" w:lineRule="auto"/>
        <w:ind w:left="0" w:firstLine="119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Vadovaudamasis Kultūros paso administravimo ir finansavimo tvarkos aprašo, patvirtinto Lietuvos Respublikos kultūros ministro ir Lietuvos Respublikos švietimo, mokslo ir sporto ministro 2018 m. gruodžio 21 d. įsakymu Nr. ĮV-1000/V-1055 „Dėl Kultūros paso administravimo ir finansavimo tvarkos aprašo patvirtinimo“, </w:t>
      </w:r>
      <w:r w:rsidRPr="00FC0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FC0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 26.2.1 papunkčiais ir atsižvelgdamas į Kultūros paso ekspertų komisijos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rugpjūčio 6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siūlymą įtraukti nurodytas kultūros ir meno paslaugas į Kultūros paso paslaugų rinkinį (posėdžio protokolas </w:t>
      </w:r>
      <w:r w:rsidR="00C301F1" w:rsidRPr="00C301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 BPR-106-(5.17 E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):</w:t>
      </w:r>
    </w:p>
    <w:p w14:paraId="21B202B0" w14:textId="7833C04A" w:rsidR="00630678" w:rsidRPr="00FC095F" w:rsidRDefault="00630678" w:rsidP="00630678">
      <w:pPr>
        <w:numPr>
          <w:ilvl w:val="0"/>
          <w:numId w:val="1"/>
        </w:numPr>
        <w:tabs>
          <w:tab w:val="left" w:pos="1560"/>
        </w:tabs>
        <w:suppressAutoHyphens/>
        <w:spacing w:line="36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v i r t i n u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birželio mėn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kvietimo kultūros ir meno paslaugų, įtraukiamų į Kultūros paso paslaugų rinkinį, sąrašą (pridedama).</w:t>
      </w:r>
    </w:p>
    <w:p w14:paraId="451DDC8C" w14:textId="06242952" w:rsidR="00630678" w:rsidRPr="00FC095F" w:rsidRDefault="00630678" w:rsidP="00630678">
      <w:pPr>
        <w:numPr>
          <w:ilvl w:val="0"/>
          <w:numId w:val="1"/>
        </w:numPr>
        <w:tabs>
          <w:tab w:val="left" w:pos="1560"/>
        </w:tabs>
        <w:suppressAutoHyphens/>
        <w:spacing w:line="36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 u s t a t a u, kad kultūros ir meno paslaugų, įtraukiamų į Kultūros paso paslaugų rinkinį, vykdymo termino pabaiga yra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rugsėjo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</w:t>
      </w:r>
    </w:p>
    <w:p w14:paraId="25A2D30F" w14:textId="77777777" w:rsidR="00630678" w:rsidRPr="00FC095F" w:rsidRDefault="00630678" w:rsidP="00630678">
      <w:pPr>
        <w:numPr>
          <w:ilvl w:val="0"/>
          <w:numId w:val="1"/>
        </w:numPr>
        <w:tabs>
          <w:tab w:val="left" w:pos="1560"/>
        </w:tabs>
        <w:suppressAutoHyphens/>
        <w:spacing w:line="360" w:lineRule="auto"/>
        <w:ind w:left="0" w:firstLine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09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 n f o r m u o j u, kad</w:t>
      </w:r>
      <w:r w:rsidRPr="00FC09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šis įsakymas </w:t>
      </w:r>
      <w:r w:rsidRPr="00FC095F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gali būti skundžiamas Lietuvos Respublikos kultūros ministerijai</w:t>
      </w:r>
      <w:r w:rsidRPr="00FC095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Lietuvos Respublikos viešojo administravimo įstatymo nustatyta tvarka arba Lietuvos administracinių ginčų komisijai Lietuvos Respublikos ikiteisminio administracinių ginčų nagrinėjimo tvarkos įstatymo nustatyta tvarka arba </w:t>
      </w:r>
      <w:r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Regionų</w:t>
      </w:r>
      <w:r w:rsidRPr="00FC095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administraciniam teismui  Lietuvos Respublikos administracinių bylų teisenos įstatymo nustatyta tvarka.</w:t>
      </w:r>
    </w:p>
    <w:p w14:paraId="187898ED" w14:textId="77777777" w:rsidR="00630678" w:rsidRPr="00FC095F" w:rsidRDefault="00630678" w:rsidP="00326499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58F82FA" w14:textId="77777777" w:rsidR="00630678" w:rsidRPr="00FC095F" w:rsidRDefault="00630678" w:rsidP="00630678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DA0AA94" w14:textId="77777777" w:rsidR="00630678" w:rsidRPr="00FC095F" w:rsidRDefault="00630678" w:rsidP="00630678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margin" w:tblpY="438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1800"/>
        <w:gridCol w:w="3019"/>
      </w:tblGrid>
      <w:tr w:rsidR="00630678" w:rsidRPr="00FC095F" w14:paraId="2175E4DD" w14:textId="77777777" w:rsidTr="00A11CD9">
        <w:trPr>
          <w:cantSplit/>
          <w:trHeight w:val="215"/>
        </w:trPr>
        <w:tc>
          <w:tcPr>
            <w:tcW w:w="4679" w:type="dxa"/>
          </w:tcPr>
          <w:p w14:paraId="27BCCFFA" w14:textId="77777777" w:rsidR="00630678" w:rsidRPr="00FC095F" w:rsidRDefault="00630678" w:rsidP="00A11CD9">
            <w:pPr>
              <w:keepNext/>
              <w:widowControl w:val="0"/>
              <w:tabs>
                <w:tab w:val="left" w:pos="7777"/>
              </w:tabs>
              <w:suppressAutoHyphens/>
              <w:spacing w:before="480"/>
              <w:ind w:left="0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Laikinai einantis kultūros ministro pareigas</w:t>
            </w:r>
          </w:p>
        </w:tc>
        <w:tc>
          <w:tcPr>
            <w:tcW w:w="1800" w:type="dxa"/>
          </w:tcPr>
          <w:p w14:paraId="118365FE" w14:textId="77777777" w:rsidR="00630678" w:rsidRPr="00FC095F" w:rsidRDefault="00630678" w:rsidP="00A11CD9">
            <w:pPr>
              <w:keepNext/>
              <w:widowControl w:val="0"/>
              <w:tabs>
                <w:tab w:val="left" w:pos="7777"/>
              </w:tabs>
              <w:suppressAutoHyphens/>
              <w:spacing w:before="480"/>
              <w:ind w:left="0" w:firstLine="0"/>
              <w:rPr>
                <w:rFonts w:ascii="Times New Roman" w:eastAsia="Times New Roman" w:hAnsi="Times New Roman" w:cs="Times New Roman"/>
                <w:vanish/>
                <w:color w:val="0000F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19" w:type="dxa"/>
          </w:tcPr>
          <w:p w14:paraId="78EC6F47" w14:textId="6CB6E8F8" w:rsidR="00630678" w:rsidRPr="00FC095F" w:rsidRDefault="00630678" w:rsidP="00630678">
            <w:pPr>
              <w:keepNext/>
              <w:widowControl w:val="0"/>
              <w:tabs>
                <w:tab w:val="left" w:pos="7777"/>
              </w:tabs>
              <w:suppressAutoHyphens/>
              <w:spacing w:before="480"/>
              <w:ind w:left="0" w:firstLine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Šarūnas Birutis</w:t>
            </w:r>
          </w:p>
        </w:tc>
      </w:tr>
    </w:tbl>
    <w:p w14:paraId="42D9C5AE" w14:textId="77777777" w:rsidR="00630678" w:rsidRPr="00FC095F" w:rsidRDefault="00630678" w:rsidP="00630678">
      <w:pPr>
        <w:ind w:left="0" w:firstLine="0"/>
      </w:pPr>
    </w:p>
    <w:p w14:paraId="70AD1583" w14:textId="77777777" w:rsidR="00DC644C" w:rsidRDefault="00DC644C" w:rsidP="00630678">
      <w:pPr>
        <w:ind w:left="0" w:firstLine="0"/>
      </w:pPr>
    </w:p>
    <w:sectPr w:rsidR="00DC64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90598"/>
    <w:multiLevelType w:val="multilevel"/>
    <w:tmpl w:val="73DE65E8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num w:numId="1" w16cid:durableId="125791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78"/>
    <w:rsid w:val="00064578"/>
    <w:rsid w:val="000A2782"/>
    <w:rsid w:val="00135B63"/>
    <w:rsid w:val="00326499"/>
    <w:rsid w:val="005B068C"/>
    <w:rsid w:val="00630678"/>
    <w:rsid w:val="007929BD"/>
    <w:rsid w:val="00997281"/>
    <w:rsid w:val="00C301F1"/>
    <w:rsid w:val="00D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93F62C"/>
  <w15:chartTrackingRefBased/>
  <w15:docId w15:val="{A59FAE27-E854-410F-B356-D96DA645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678"/>
    <w:pPr>
      <w:spacing w:line="240" w:lineRule="auto"/>
      <w:ind w:left="72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0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678"/>
    <w:pPr>
      <w:numPr>
        <w:ilvl w:val="1"/>
      </w:numPr>
      <w:spacing w:after="160"/>
      <w:ind w:left="720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6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678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630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wmf"
                 Type="http://schemas.openxmlformats.org/officeDocument/2006/relationships/image"/>
   <Relationship Id="rId6" Target="embeddings/oleObject1.bin"
                 Type="http://schemas.openxmlformats.org/officeDocument/2006/relationships/oleObject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1006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2025-08-08T05:43:00Z</dcterms:created>
  <dc:creator>Gina Justina Raibužytė</dc:creator>
  <cp:lastModifiedBy>Gina Justina Raibužytė</cp:lastModifiedBy>
  <dcterms:modified xsi:type="dcterms:W3CDTF">2025-08-08T10:07:00Z</dcterms:modified>
  <cp:revision>3</cp:revision>
</cp:coreProperties>
</file>